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DFB9E">
      <w:pPr>
        <w:keepNext w:val="0"/>
        <w:keepLines w:val="0"/>
        <w:pageBreakBefore w:val="0"/>
        <w:widowControl w:val="0"/>
        <w:kinsoku/>
        <w:wordWrap/>
        <w:overflowPunct/>
        <w:topLinePunct w:val="0"/>
        <w:autoSpaceDE w:val="0"/>
        <w:autoSpaceDN w:val="0"/>
        <w:bidi w:val="0"/>
        <w:adjustRightInd w:val="0"/>
        <w:snapToGrid w:val="0"/>
        <w:spacing w:before="83" w:line="640" w:lineRule="exact"/>
        <w:jc w:val="center"/>
        <w:textAlignment w:val="baseline"/>
        <w:outlineLvl w:val="0"/>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网络安全服务方案</w:t>
      </w:r>
    </w:p>
    <w:p w14:paraId="18FFA9C3">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一、总体</w:t>
      </w:r>
      <w:r>
        <w:rPr>
          <w:rFonts w:hint="eastAsia" w:ascii="黑体" w:hAnsi="黑体" w:eastAsia="黑体" w:cs="黑体"/>
          <w:color w:val="auto"/>
          <w:sz w:val="32"/>
          <w:szCs w:val="32"/>
        </w:rPr>
        <w:t>服务</w:t>
      </w:r>
      <w:r>
        <w:rPr>
          <w:rFonts w:hint="eastAsia" w:ascii="黑体" w:hAnsi="黑体" w:eastAsia="黑体" w:cs="黑体"/>
          <w:color w:val="auto"/>
          <w:sz w:val="32"/>
          <w:szCs w:val="32"/>
          <w:lang w:val="en-US" w:eastAsia="zh-CN"/>
        </w:rPr>
        <w:t>目标</w:t>
      </w:r>
    </w:p>
    <w:p w14:paraId="769D43E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本项目以贯彻落实《中华人民共和国网络安全法》和信息系统网络安全等级保护相关标准要求为指导，以提高我院网络安全运行维护和整体防护水平为核心目标，通过开展安全工作，实现以下目标：</w:t>
      </w:r>
    </w:p>
    <w:p w14:paraId="0A41DC3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确保我院信息系统满足等级保护要求，顺利通过三级等级</w:t>
      </w:r>
      <w:bookmarkStart w:id="9" w:name="_GoBack"/>
      <w:bookmarkEnd w:id="9"/>
      <w:r>
        <w:rPr>
          <w:rFonts w:hint="default" w:ascii="Times New Roman" w:hAnsi="Times New Roman" w:eastAsia="仿宋_GB2312" w:cs="Times New Roman"/>
          <w:color w:val="auto"/>
          <w:sz w:val="32"/>
          <w:szCs w:val="32"/>
        </w:rPr>
        <w:t>保护测评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及配合院方顺利通过其它各类信息测评。</w:t>
      </w:r>
    </w:p>
    <w:p w14:paraId="1BA9FCE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确保我院信息化业务系统的安全、有效、平稳运行</w:t>
      </w:r>
      <w:r>
        <w:rPr>
          <w:rFonts w:hint="default" w:ascii="Times New Roman" w:hAnsi="Times New Roman" w:eastAsia="仿宋_GB2312" w:cs="Times New Roman"/>
          <w:color w:val="auto"/>
          <w:sz w:val="32"/>
          <w:szCs w:val="32"/>
          <w:lang w:eastAsia="zh-CN"/>
        </w:rPr>
        <w:t>。</w:t>
      </w:r>
    </w:p>
    <w:p w14:paraId="62B9306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为我院建立完善的安全管理体系，</w:t>
      </w:r>
      <w:r>
        <w:rPr>
          <w:rFonts w:hint="default" w:ascii="Times New Roman" w:hAnsi="Times New Roman" w:eastAsia="仿宋_GB2312" w:cs="Times New Roman"/>
          <w:color w:val="auto"/>
          <w:sz w:val="32"/>
          <w:szCs w:val="32"/>
          <w:lang w:val="en-US" w:eastAsia="zh-CN"/>
        </w:rPr>
        <w:t>提供</w:t>
      </w:r>
      <w:r>
        <w:rPr>
          <w:rFonts w:hint="default" w:ascii="Times New Roman" w:hAnsi="Times New Roman" w:eastAsia="仿宋_GB2312" w:cs="Times New Roman"/>
          <w:color w:val="auto"/>
          <w:sz w:val="32"/>
          <w:szCs w:val="32"/>
        </w:rPr>
        <w:t>配套安全</w:t>
      </w:r>
      <w:r>
        <w:rPr>
          <w:rFonts w:hint="default" w:ascii="Times New Roman" w:hAnsi="Times New Roman" w:eastAsia="仿宋_GB2312" w:cs="Times New Roman"/>
          <w:color w:val="auto"/>
          <w:sz w:val="32"/>
          <w:szCs w:val="32"/>
          <w:lang w:val="en-US" w:eastAsia="zh-CN"/>
        </w:rPr>
        <w:t>服务工具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配备驻场</w:t>
      </w:r>
      <w:r>
        <w:rPr>
          <w:rFonts w:hint="default" w:ascii="Times New Roman" w:hAnsi="Times New Roman" w:eastAsia="仿宋_GB2312" w:cs="Times New Roman"/>
          <w:color w:val="auto"/>
          <w:sz w:val="32"/>
          <w:szCs w:val="32"/>
        </w:rPr>
        <w:t>安全人员，让安全工作常态化开展</w:t>
      </w:r>
      <w:r>
        <w:rPr>
          <w:rFonts w:hint="default" w:ascii="Times New Roman" w:hAnsi="Times New Roman" w:eastAsia="仿宋_GB2312" w:cs="Times New Roman"/>
          <w:color w:val="auto"/>
          <w:sz w:val="32"/>
          <w:szCs w:val="32"/>
          <w:lang w:eastAsia="zh-CN"/>
        </w:rPr>
        <w:t>。</w:t>
      </w:r>
    </w:p>
    <w:p w14:paraId="02248C0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建立安全监测流程、安全事件处置流程和应急预案</w:t>
      </w:r>
      <w:r>
        <w:rPr>
          <w:rFonts w:hint="default" w:ascii="Times New Roman" w:hAnsi="Times New Roman" w:eastAsia="仿宋_GB2312" w:cs="Times New Roman"/>
          <w:color w:val="auto"/>
          <w:sz w:val="32"/>
          <w:szCs w:val="32"/>
          <w:lang w:val="en-US" w:eastAsia="zh-CN"/>
        </w:rPr>
        <w:t>确保</w:t>
      </w:r>
      <w:r>
        <w:rPr>
          <w:rFonts w:hint="default" w:ascii="Times New Roman" w:hAnsi="Times New Roman" w:eastAsia="仿宋_GB2312" w:cs="Times New Roman"/>
          <w:color w:val="auto"/>
          <w:sz w:val="32"/>
          <w:szCs w:val="32"/>
        </w:rPr>
        <w:t>我院安全工作务实有效全面开展</w:t>
      </w:r>
      <w:r>
        <w:rPr>
          <w:rFonts w:hint="default" w:ascii="Times New Roman" w:hAnsi="Times New Roman" w:eastAsia="仿宋_GB2312" w:cs="Times New Roman"/>
          <w:color w:val="auto"/>
          <w:sz w:val="32"/>
          <w:szCs w:val="32"/>
          <w:lang w:eastAsia="zh-CN"/>
        </w:rPr>
        <w:t>。</w:t>
      </w:r>
    </w:p>
    <w:p w14:paraId="3A8BAB0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为我院整体安全负责，对接所有安全事项，包括院内部门、等保测评机构、业务系统厂商等</w:t>
      </w:r>
      <w:r>
        <w:rPr>
          <w:rFonts w:hint="default" w:ascii="Times New Roman" w:hAnsi="Times New Roman" w:eastAsia="仿宋_GB2312" w:cs="Times New Roman"/>
          <w:color w:val="auto"/>
          <w:sz w:val="32"/>
          <w:szCs w:val="32"/>
          <w:lang w:eastAsia="zh-CN"/>
        </w:rPr>
        <w:t>。</w:t>
      </w:r>
    </w:p>
    <w:p w14:paraId="2AE09F0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为我院网络安全人员提供系统化培训，内容包括合规要求、技能</w:t>
      </w:r>
      <w:r>
        <w:rPr>
          <w:rFonts w:hint="default" w:ascii="Times New Roman" w:hAnsi="Times New Roman" w:eastAsia="仿宋_GB2312" w:cs="Times New Roman"/>
          <w:color w:val="auto"/>
          <w:sz w:val="32"/>
          <w:szCs w:val="32"/>
          <w:lang w:val="en-US" w:eastAsia="zh-CN"/>
        </w:rPr>
        <w:t>证书</w:t>
      </w:r>
      <w:r>
        <w:rPr>
          <w:rFonts w:hint="default" w:ascii="Times New Roman" w:hAnsi="Times New Roman" w:eastAsia="仿宋_GB2312" w:cs="Times New Roman"/>
          <w:color w:val="auto"/>
          <w:sz w:val="32"/>
          <w:szCs w:val="32"/>
        </w:rPr>
        <w:t>、实战经验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各类比赛</w:t>
      </w:r>
      <w:r>
        <w:rPr>
          <w:rFonts w:hint="default" w:ascii="Times New Roman" w:hAnsi="Times New Roman" w:eastAsia="仿宋_GB2312" w:cs="Times New Roman"/>
          <w:color w:val="auto"/>
          <w:sz w:val="32"/>
          <w:szCs w:val="32"/>
        </w:rPr>
        <w:t>等方面，整体提升我院信息安全能力</w:t>
      </w:r>
      <w:r>
        <w:rPr>
          <w:rFonts w:hint="default" w:ascii="Times New Roman" w:hAnsi="Times New Roman" w:eastAsia="仿宋_GB2312" w:cs="Times New Roman"/>
          <w:color w:val="auto"/>
          <w:sz w:val="32"/>
          <w:szCs w:val="32"/>
          <w:lang w:eastAsia="zh-CN"/>
        </w:rPr>
        <w:t>。</w:t>
      </w:r>
    </w:p>
    <w:p w14:paraId="0640C288">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二、总体服务要求</w:t>
      </w:r>
    </w:p>
    <w:p w14:paraId="6E9605D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应具有专业的安全服务团队，为本项目配置项目开展所需的其他技能服务工程师，包括但不限于数据安全工程师、应用安全工程师、安全攻防专家、安全设备工程师、应急保障工程师等。提供一名驻场人员遵从院方作息时间及指定办公地点。</w:t>
      </w:r>
    </w:p>
    <w:p w14:paraId="6D09970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2.服务期间，如遇到我院有新的安全需求，应协助我院提供对应的解决方案，包括软、硬件升级或寻找能够满足对应需求产品。</w:t>
      </w:r>
    </w:p>
    <w:p w14:paraId="4E72A4F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3.服务期间，如因我院业务改造升级等，如须对配套安全工具进行升级时，供商应对安全设备（软、硬件）进行免费升级。更新设备或升级设备需按我院提出时间安排进行更换。</w:t>
      </w:r>
    </w:p>
    <w:p w14:paraId="1FE4CCE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4.服务期间，如遇新的网络安全法律法规颁布，须及时予以解读并同时向我院提出系统安全改造、升级方案要求，满足我院的网络安全保护工作。</w:t>
      </w:r>
    </w:p>
    <w:p w14:paraId="377389D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5.服务期间，如遇我院存在新的业务系统上线，须免费提供安全检测服务，包含但不限于安全加固、漏洞扫描、渗透测试等。</w:t>
      </w:r>
    </w:p>
    <w:p w14:paraId="0547B2B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cs="Times New Roman"/>
          <w:color w:val="auto"/>
          <w:sz w:val="32"/>
          <w:szCs w:val="32"/>
          <w:lang w:val="en-US" w:eastAsia="zh-CN"/>
        </w:rPr>
        <w:t>12</w:t>
      </w:r>
      <w:r>
        <w:rPr>
          <w:rFonts w:hint="default" w:ascii="Times New Roman" w:hAnsi="Times New Roman" w:eastAsia="仿宋_GB2312" w:cs="Times New Roman"/>
          <w:color w:val="auto"/>
          <w:sz w:val="32"/>
          <w:szCs w:val="32"/>
          <w:lang w:val="en-US" w:eastAsia="zh-CN"/>
        </w:rPr>
        <w:t>个月服务周期结束后，如我院下一年的安全服务还未最终招标确定，则中标方所提供的安全服务设备应无偿顺延至最终确认新中标人（时间不超过6个月的期限）且须与下一年的中标方完成相关的交接工作后，归还给中标方。</w:t>
      </w:r>
    </w:p>
    <w:p w14:paraId="031946C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7.以上所有条款中涉及的软硬件升级或更换，需按网络安全要求考虑满足日志保存6个月的要求。</w:t>
      </w:r>
    </w:p>
    <w:p w14:paraId="7D1C83D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为防止虚假应标，在签订合同前，我院有权对中标方所投产品或服务邀请国家认可的第三方专业权威检测机构（国家网络与信息系统安全产品质量监督检验中心、公安部计算机信息系统安全产品质量监督检验中心、公安部信息安全产品检测中心等）按招标文件相关的技术指标、证书原件与功能需求进行检测(费用计入投标报价中或由中标方负责)，并对设备现场功能进行演示；如中标人提供设备不能满足采购需求及符合证明材料，视为虚假应标，中标方须承担由此造成的一切后果及相关的法律责任。</w:t>
      </w:r>
    </w:p>
    <w:p w14:paraId="3AC9BDD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信息安全服务方案的设计与实施严格依据国内及国际的相关标准进行。对信息安全服务的过程和结果严格保密，未经用户授权不得泄露给任何单位和个人。在信息安全服务工作中的过程和文档，须具有很好的规范性，满足医院对于文档的要求，可以便于项目的跟踪和控制。信息安全服务所使用的工具、方法和过程在双方认可的范围之内，服务进度遵守进度表的安排，保证用户对服务工作的可控性。信息安全服务工作尽可能小的影响院方的正常运行，不能对现有业务的正常提供造成显著影响。信息安全服务遵循高效性原则，响应迅速，问题故障解决快速。</w:t>
      </w:r>
    </w:p>
    <w:p w14:paraId="072B5389">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三、项目实施要求</w:t>
      </w:r>
    </w:p>
    <w:p w14:paraId="6FE8148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1.服务过程产生的所有过程文档、原始数据、扫描报告、正式报告等必须进行电子和纸质双重归档，在项目结束后全部移交给甲方。</w:t>
      </w:r>
    </w:p>
    <w:p w14:paraId="0DB2E5E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服务过程中涉及到渗透测试、漏洞扫描等会影响业务系统稳定的敏感操作，须在甲方许可的时间、环境并且在甲方授权的情况下方可操作，开展工作前须要制定严格的执行方案和预案，首要保障业务系统的稳定，完成后提交全部过程文档。</w:t>
      </w:r>
    </w:p>
    <w:p w14:paraId="156DAA2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3.必须对本项目进行全程管理，管理内容包括：项目计划、项目人员组织、项目例会、项目资料收集、项目日报周报、项目总结等。</w:t>
      </w:r>
    </w:p>
    <w:p w14:paraId="2685DDD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服务进场前提交详细的实施方案、安全工具清单、服务痕迹管理清单、项目组组织架构、实施计划、质量保障体系等；服务方案，要求条理清晰、内容合理，要求提供详细的服务流程及说明，以及服务过程中采用的技术和方法，要求进行详细介绍。服务成果物要求的文档均为包括但不限于所列文档。</w:t>
      </w:r>
    </w:p>
    <w:p w14:paraId="4F3746EB">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四、项目服务内容</w:t>
      </w:r>
    </w:p>
    <w:p w14:paraId="590B61B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安全服务公司具有专业的安全服务团队，为本项目配置项目开展所需的其他技能服务工程师，包括但不限于数据安全工程师、应用安全工程师、安全攻防专家、安全设备工程师、应急保障工程师等。提供一名驻场人员，驻场人员资质要求为已取得CISP 资质一年以上人员，遵从院方作息时间及指定办公地点。</w:t>
      </w:r>
    </w:p>
    <w:p w14:paraId="14B15274">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（1）安全整体规划</w:t>
      </w:r>
    </w:p>
    <w:p w14:paraId="68B2F3B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服务内容：针对本单位网络和安全整体情况，结合网络安全等级保护2.0规范中三级等保评测要求，做出一个符合甲方现有情况的网络安全规划整体情况，服务开始一个月内给出新的网络拓扑图和机柜图。</w:t>
      </w:r>
    </w:p>
    <w:p w14:paraId="7F307D06">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（2）</w:t>
      </w:r>
      <w:r>
        <w:rPr>
          <w:rFonts w:hint="default" w:ascii="楷体_GB2312" w:hAnsi="楷体_GB2312" w:eastAsia="楷体_GB2312" w:cs="楷体_GB2312"/>
          <w:b/>
          <w:bCs/>
          <w:color w:val="auto"/>
          <w:sz w:val="32"/>
          <w:szCs w:val="32"/>
          <w:lang w:val="en-US" w:eastAsia="zh-CN"/>
        </w:rPr>
        <w:t>业务梳理</w:t>
      </w:r>
    </w:p>
    <w:p w14:paraId="61A8775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1.各类内网、外网、智能网等业务专线线路的调整和各类安全设备上的相应配置调整，梳理完成后按院方要求提交一份专线业务配置文档。</w:t>
      </w:r>
    </w:p>
    <w:p w14:paraId="3AB16A9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2.根据院方的业务流程，梳理各类安全设备（防火墙、网闸、入侵检测、网站WAF、堡垒机等）的安全策略配置、要求细化到针对业务开放端口和策略。梳理完成后按院方要求提交一份梳理文档。</w:t>
      </w:r>
    </w:p>
    <w:p w14:paraId="229458A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3.根据院方的业务流程，全面识别服务器、网络设备、业务系统等关键资产，记录操作系统版本、IP地址、开放端口、网络拓扑等信息，并录入安全运营平台动态管理。梳理完成后按院方要求提交一份梳理文档。</w:t>
      </w:r>
    </w:p>
    <w:p w14:paraId="3AEFFF2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4.按等保2.0要求完成安全设备、交换设备、服务器的安全配置。实施完成终端安全准入，终端无线安全等日常事务。</w:t>
      </w:r>
    </w:p>
    <w:p w14:paraId="52564D8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5.解决日常管理、巡检、日志审计、网络及系统的日常安全监控、安全事件处理等，每周按院方要求提供相应周报。</w:t>
      </w:r>
    </w:p>
    <w:p w14:paraId="27CF284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6.根据院方的业务流程，梳理现有院内跨网业务流程图，精确到端口信息，根据业务数量提供相应的流程图文档。</w:t>
      </w:r>
    </w:p>
    <w:p w14:paraId="7D715DF7">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（3）</w:t>
      </w:r>
      <w:r>
        <w:rPr>
          <w:rFonts w:hint="default" w:ascii="楷体_GB2312" w:hAnsi="楷体_GB2312" w:eastAsia="楷体_GB2312" w:cs="楷体_GB2312"/>
          <w:b/>
          <w:bCs/>
          <w:color w:val="auto"/>
          <w:sz w:val="32"/>
          <w:szCs w:val="32"/>
          <w:lang w:val="en-US" w:eastAsia="zh-CN"/>
        </w:rPr>
        <w:t>漏洞风险评估</w:t>
      </w:r>
    </w:p>
    <w:p w14:paraId="493801D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服务内容：检测核心网络设备、操作系统、数据库、中间件和应用服务中存在的安全漏洞，提供漏洞评估报告和修复建议并与院方人员一起完成修复。完成漏洞修复后需要进行复测并提供相应的复测报告。</w:t>
      </w:r>
    </w:p>
    <w:p w14:paraId="283EDE1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服务频率：每季度一次，及新业务系统上线立即进行一次</w:t>
      </w:r>
    </w:p>
    <w:p w14:paraId="55C34C3F">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（4）</w:t>
      </w:r>
      <w:r>
        <w:rPr>
          <w:rFonts w:hint="default" w:ascii="楷体_GB2312" w:hAnsi="楷体_GB2312" w:eastAsia="楷体_GB2312" w:cs="楷体_GB2312"/>
          <w:b/>
          <w:bCs/>
          <w:color w:val="auto"/>
          <w:sz w:val="32"/>
          <w:szCs w:val="32"/>
          <w:lang w:val="en-US" w:eastAsia="zh-CN"/>
        </w:rPr>
        <w:t>安全扫描服务</w:t>
      </w:r>
    </w:p>
    <w:p w14:paraId="3D23944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采用专业安全扫描工具与人工检查相结合的方式，对网站和外网应用系统进行安全扫描，发现漏洞，提供漏洞评估报告和修复建议并与院方人员一起完成修复。完成漏洞修复后需要进行复测并提供相应的复测报告。</w:t>
      </w:r>
    </w:p>
    <w:p w14:paraId="7972991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服务频率：每季度一次，及新业务系统上线立即进行一次</w:t>
      </w:r>
    </w:p>
    <w:p w14:paraId="522DF6D3">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（5）</w:t>
      </w:r>
      <w:r>
        <w:rPr>
          <w:rFonts w:hint="default" w:ascii="楷体_GB2312" w:hAnsi="楷体_GB2312" w:eastAsia="楷体_GB2312" w:cs="楷体_GB2312"/>
          <w:b/>
          <w:bCs/>
          <w:color w:val="auto"/>
          <w:sz w:val="32"/>
          <w:szCs w:val="32"/>
          <w:lang w:val="en-US" w:eastAsia="zh-CN"/>
        </w:rPr>
        <w:t>安全审计服务</w:t>
      </w:r>
    </w:p>
    <w:p w14:paraId="509E8B5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服务内容：对系统中核心网络设备、操作系统、数据库和应用服务器的配置进行安全检查，提供安全配置核查报告和改进建议。</w:t>
      </w:r>
    </w:p>
    <w:p w14:paraId="39D38E4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服务频率：每年二次</w:t>
      </w:r>
    </w:p>
    <w:p w14:paraId="59FE0B24">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（6）</w:t>
      </w:r>
      <w:r>
        <w:rPr>
          <w:rFonts w:hint="default" w:ascii="楷体_GB2312" w:hAnsi="楷体_GB2312" w:eastAsia="楷体_GB2312" w:cs="楷体_GB2312"/>
          <w:b/>
          <w:bCs/>
          <w:color w:val="auto"/>
          <w:sz w:val="32"/>
          <w:szCs w:val="32"/>
          <w:lang w:val="en-US" w:eastAsia="zh-CN"/>
        </w:rPr>
        <w:t>应用渗透测试及系统渗透测试</w:t>
      </w:r>
    </w:p>
    <w:p w14:paraId="100E0CA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服务内容：利用各种主流攻击技术对院方授权指定的应用系统及模块进行测试，提供渗透测试报告和改进建议。</w:t>
      </w:r>
    </w:p>
    <w:p w14:paraId="03CDBB5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服务频率：按院方的需求进行，及新业务系统上线立即进行一次</w:t>
      </w:r>
    </w:p>
    <w:p w14:paraId="51177079">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（7）</w:t>
      </w:r>
      <w:r>
        <w:rPr>
          <w:rFonts w:hint="default" w:ascii="楷体_GB2312" w:hAnsi="楷体_GB2312" w:eastAsia="楷体_GB2312" w:cs="楷体_GB2312"/>
          <w:b/>
          <w:bCs/>
          <w:color w:val="auto"/>
          <w:sz w:val="32"/>
          <w:szCs w:val="32"/>
          <w:lang w:val="en-US" w:eastAsia="zh-CN"/>
        </w:rPr>
        <w:t>日志安全分析</w:t>
      </w:r>
    </w:p>
    <w:p w14:paraId="4089BF2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服务内容：对院方网络中部署的所有安全设备进行有效的日志分析，找出系统存在的安全威胁，并形成日志分析报告。</w:t>
      </w:r>
    </w:p>
    <w:p w14:paraId="676AE5F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服务频率：每季度一次</w:t>
      </w:r>
    </w:p>
    <w:p w14:paraId="383F143E">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（8）</w:t>
      </w:r>
      <w:r>
        <w:rPr>
          <w:rFonts w:hint="default" w:ascii="楷体_GB2312" w:hAnsi="楷体_GB2312" w:eastAsia="楷体_GB2312" w:cs="楷体_GB2312"/>
          <w:b/>
          <w:bCs/>
          <w:color w:val="auto"/>
          <w:sz w:val="32"/>
          <w:szCs w:val="32"/>
          <w:lang w:val="en-US" w:eastAsia="zh-CN"/>
        </w:rPr>
        <w:t>安全加固</w:t>
      </w:r>
    </w:p>
    <w:p w14:paraId="7A62E6C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服务内容：针对安全漏洞和安全配置评估中发现的安全漏洞和配置缺陷，提供加固意见和方案，配合客户完成安全漏洞和配置修复。</w:t>
      </w:r>
    </w:p>
    <w:p w14:paraId="21DD852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10E9093A">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（9）</w:t>
      </w:r>
      <w:r>
        <w:rPr>
          <w:rFonts w:hint="default" w:ascii="楷体_GB2312" w:hAnsi="楷体_GB2312" w:eastAsia="楷体_GB2312" w:cs="楷体_GB2312"/>
          <w:b/>
          <w:bCs/>
          <w:color w:val="auto"/>
          <w:sz w:val="32"/>
          <w:szCs w:val="32"/>
          <w:lang w:val="en-US" w:eastAsia="zh-CN"/>
        </w:rPr>
        <w:t>应急响应</w:t>
      </w:r>
    </w:p>
    <w:p w14:paraId="4808AC9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服务内容：在出现重要安全事件时（信息系统遭受攻击、网络病毒爆发等），派遣至少1名以上高级安全服务人员（3年以上工作经验，同时持有CCRC 网络安全应急响应工程师证书），1小时内到达现场，协助客户处理突发事件。主要工作内容包括：突发事件相关信息的收集、事件的分析、报告提交、问题解决建议等，协助用户解决突发安全事件，并提供应急响应报告。</w:t>
      </w:r>
    </w:p>
    <w:p w14:paraId="67E25CB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6C20B91C">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（10）</w:t>
      </w:r>
      <w:r>
        <w:rPr>
          <w:rFonts w:hint="default" w:ascii="楷体_GB2312" w:hAnsi="楷体_GB2312" w:eastAsia="楷体_GB2312" w:cs="楷体_GB2312"/>
          <w:b/>
          <w:bCs/>
          <w:color w:val="auto"/>
          <w:sz w:val="32"/>
          <w:szCs w:val="32"/>
          <w:lang w:val="en-US" w:eastAsia="zh-CN"/>
        </w:rPr>
        <w:t>安全演练</w:t>
      </w:r>
    </w:p>
    <w:p w14:paraId="7744365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根据客户需求，进行应急预案编制，包括但不限于拒绝服务攻击DDOS、网页篡改、病毒事件等场景，包括需求调研、预案编制、修改完善等工作内容。由有经验的高级安全工程师配合客户进行现场应急预案的操作演练，目的在于检查应急预案的可行性，同时提升客户安全工作人员的事件应急处理能力。</w:t>
      </w:r>
    </w:p>
    <w:p w14:paraId="73E2ED9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服务频率：每半年一次</w:t>
      </w:r>
    </w:p>
    <w:p w14:paraId="534E7315">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（11）</w:t>
      </w:r>
      <w:r>
        <w:rPr>
          <w:rFonts w:hint="default" w:ascii="楷体_GB2312" w:hAnsi="楷体_GB2312" w:eastAsia="楷体_GB2312" w:cs="楷体_GB2312"/>
          <w:b/>
          <w:bCs/>
          <w:color w:val="auto"/>
          <w:sz w:val="32"/>
          <w:szCs w:val="32"/>
          <w:lang w:val="en-US" w:eastAsia="zh-CN"/>
        </w:rPr>
        <w:t>安全培训</w:t>
      </w:r>
    </w:p>
    <w:p w14:paraId="6B92E99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常见安全技术培训，包括对各类主流操作系统，网络、终端及机房管理等安全知识的培训。在现场服务时，给用户的工作人员进行现场即时培训讲解。并提供安全培训文档。提供相关安全类证书考试培训资料，并提供答疑讲解。</w:t>
      </w:r>
    </w:p>
    <w:p w14:paraId="30BFA2B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服务频率：每半年一次</w:t>
      </w:r>
    </w:p>
    <w:p w14:paraId="6FDBD00C">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（12）</w:t>
      </w:r>
      <w:r>
        <w:rPr>
          <w:rFonts w:hint="default" w:ascii="楷体_GB2312" w:hAnsi="楷体_GB2312" w:eastAsia="楷体_GB2312" w:cs="楷体_GB2312"/>
          <w:b/>
          <w:bCs/>
          <w:color w:val="auto"/>
          <w:sz w:val="32"/>
          <w:szCs w:val="32"/>
          <w:lang w:val="en-US" w:eastAsia="zh-CN"/>
        </w:rPr>
        <w:t>网站实时监测</w:t>
      </w:r>
    </w:p>
    <w:p w14:paraId="4706C7A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服务内容：通过专业的网站安全监控平台，对应用系统网站状态、网站性能、关键内容等进行实时监控。</w:t>
      </w:r>
    </w:p>
    <w:p w14:paraId="0F78D5D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服务频率：全年365天</w:t>
      </w:r>
    </w:p>
    <w:p w14:paraId="2BAAF8D2">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（13）</w:t>
      </w:r>
      <w:r>
        <w:rPr>
          <w:rFonts w:hint="default" w:ascii="楷体_GB2312" w:hAnsi="楷体_GB2312" w:eastAsia="楷体_GB2312" w:cs="楷体_GB2312"/>
          <w:b/>
          <w:bCs/>
          <w:color w:val="auto"/>
          <w:sz w:val="32"/>
          <w:szCs w:val="32"/>
          <w:lang w:val="en-US" w:eastAsia="zh-CN"/>
        </w:rPr>
        <w:t>安全管理制度完善</w:t>
      </w:r>
    </w:p>
    <w:p w14:paraId="587CE01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服务内容：根据等级保护三级要求，完善各项信息安全管理制度，通过对制度的补充、完善，形成一套可以满足信息安全等级保护三级要求，并且可以实际运用的管理制度文件。</w:t>
      </w:r>
    </w:p>
    <w:p w14:paraId="12E588A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3147DAB7">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（14）</w:t>
      </w:r>
      <w:r>
        <w:rPr>
          <w:rFonts w:hint="default" w:ascii="楷体_GB2312" w:hAnsi="楷体_GB2312" w:eastAsia="楷体_GB2312" w:cs="楷体_GB2312"/>
          <w:b/>
          <w:bCs/>
          <w:color w:val="auto"/>
          <w:sz w:val="32"/>
          <w:szCs w:val="32"/>
          <w:lang w:val="en-US" w:eastAsia="zh-CN"/>
        </w:rPr>
        <w:t>安全域梳理</w:t>
      </w:r>
    </w:p>
    <w:p w14:paraId="06614BB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服务内容：根据用户目前的最新网络结构，进行信息安全威胁分析，并进行信息安全域的梳理工作。通过参考国内外的安全标准，提供安全域设计及整改建议方案</w:t>
      </w:r>
    </w:p>
    <w:p w14:paraId="72C61EB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7D9AA9B7">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（15）</w:t>
      </w:r>
      <w:r>
        <w:rPr>
          <w:rFonts w:hint="default" w:ascii="楷体_GB2312" w:hAnsi="楷体_GB2312" w:eastAsia="楷体_GB2312" w:cs="楷体_GB2312"/>
          <w:b/>
          <w:bCs/>
          <w:color w:val="auto"/>
          <w:sz w:val="32"/>
          <w:szCs w:val="32"/>
          <w:lang w:val="en-US" w:eastAsia="zh-CN"/>
        </w:rPr>
        <w:t>安全通告</w:t>
      </w:r>
    </w:p>
    <w:p w14:paraId="328AA6F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服务内容：出现重大安全漏洞、威胁通告、安全业界动态、恶意代码防范、紧急通告等多项内容。应在事件发生后一天之内通知院方，三天内给出具体预防和解决措施。</w:t>
      </w:r>
    </w:p>
    <w:p w14:paraId="67598F6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17A55217">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（16）</w:t>
      </w:r>
      <w:r>
        <w:rPr>
          <w:rFonts w:hint="default" w:ascii="楷体_GB2312" w:hAnsi="楷体_GB2312" w:eastAsia="楷体_GB2312" w:cs="楷体_GB2312"/>
          <w:b/>
          <w:bCs/>
          <w:color w:val="auto"/>
          <w:sz w:val="32"/>
          <w:szCs w:val="32"/>
          <w:lang w:val="en-US" w:eastAsia="zh-CN"/>
        </w:rPr>
        <w:t>安全咨询</w:t>
      </w:r>
    </w:p>
    <w:p w14:paraId="34478D0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服务内容：根据客户日常工作中遇到的实际问题进行分析和探讨，结合安全发展趋势从安全技术和安全策略等方面，向客户提供专业的安全建议。</w:t>
      </w:r>
    </w:p>
    <w:p w14:paraId="39D9EE5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5443FE95">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（17）</w:t>
      </w:r>
      <w:r>
        <w:rPr>
          <w:rFonts w:hint="default" w:ascii="楷体_GB2312" w:hAnsi="楷体_GB2312" w:eastAsia="楷体_GB2312" w:cs="楷体_GB2312"/>
          <w:b/>
          <w:bCs/>
          <w:color w:val="auto"/>
          <w:sz w:val="32"/>
          <w:szCs w:val="32"/>
          <w:lang w:val="en-US" w:eastAsia="zh-CN"/>
        </w:rPr>
        <w:t>重要时期安全保障</w:t>
      </w:r>
    </w:p>
    <w:p w14:paraId="5F653F6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针对国家规定的法定节假日、重大会议、政治活动及“护网”等其它具有广泛影响的活动，派遣高级安全服务人员至少一名（具备中国信息安全测评中心认证的注册渗透测试专家资格），以现场方式提供安全保障工作，协助处理信息安全事件，确保在重要敏感时期的网络安全。在重大节假日和重大活动期间的服务团队需7x24小时随时待命，服从院方安排。</w:t>
      </w:r>
    </w:p>
    <w:p w14:paraId="3A858E5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023E2C15">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（18）</w:t>
      </w:r>
      <w:r>
        <w:rPr>
          <w:rFonts w:hint="default" w:ascii="楷体_GB2312" w:hAnsi="楷体_GB2312" w:eastAsia="楷体_GB2312" w:cs="楷体_GB2312"/>
          <w:b/>
          <w:bCs/>
          <w:color w:val="auto"/>
          <w:sz w:val="32"/>
          <w:szCs w:val="32"/>
          <w:lang w:val="en-US" w:eastAsia="zh-CN"/>
        </w:rPr>
        <w:t>数据库安全</w:t>
      </w:r>
    </w:p>
    <w:p w14:paraId="4F4A77E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1、要求由熟习医院情况的数据库与操作系统工程师提供固定服务。Oracle、SqlServer、Mysql等数据库安全现场服务人员。2、对数据库帐户、存储过程、安全策略等进行配置分析。3、首次服务需对现有医院所有正在运行的数据库进行深度安全检查，给出数据库安全漏洞汇总和整改方案（资料所需包含的内容和信息与信息科人员沟通后确认表格格式）。4、提供数据库安全紧急应急服务，以及7*24小时的技术支持热线，要求解决数据库系统在任何时间出现的安全技术问题。5、培训院方人员，可自主进行日常数据库安全检查及安全加固处理。并给出培训文档。</w:t>
      </w:r>
    </w:p>
    <w:p w14:paraId="674D8BF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26962D33">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（19）</w:t>
      </w:r>
      <w:r>
        <w:rPr>
          <w:rFonts w:hint="default" w:ascii="楷体_GB2312" w:hAnsi="楷体_GB2312" w:eastAsia="楷体_GB2312" w:cs="楷体_GB2312"/>
          <w:b/>
          <w:bCs/>
          <w:color w:val="auto"/>
          <w:sz w:val="32"/>
          <w:szCs w:val="32"/>
          <w:lang w:val="en-US" w:eastAsia="zh-CN"/>
        </w:rPr>
        <w:t>赛事培训</w:t>
      </w:r>
    </w:p>
    <w:p w14:paraId="69D860C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在各类省、市级CTF安全比赛中，提供CTF网络安全攻防技术培训。以理论和实践相结合的方式，通过模拟真实的攻击和防御情景，提高参与者的安全技能和安全事件处置能力。并确保我院能在相关赛事中进入决赛。</w:t>
      </w:r>
    </w:p>
    <w:p w14:paraId="5978525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服务频率：按实际需要</w:t>
      </w:r>
    </w:p>
    <w:p w14:paraId="19D3B9D2">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（20）</w:t>
      </w:r>
      <w:r>
        <w:rPr>
          <w:rFonts w:hint="default" w:ascii="楷体_GB2312" w:hAnsi="楷体_GB2312" w:eastAsia="楷体_GB2312" w:cs="楷体_GB2312"/>
          <w:b/>
          <w:bCs/>
          <w:color w:val="auto"/>
          <w:sz w:val="32"/>
          <w:szCs w:val="32"/>
          <w:lang w:val="en-US" w:eastAsia="zh-CN"/>
        </w:rPr>
        <w:t>认证培训</w:t>
      </w:r>
    </w:p>
    <w:p w14:paraId="2849415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服务内容：提供注册信息安全专业CISP一个方向的现场实训及所有考试费用，提升安全人员综合安全能力来保障业务安全稳定的开展，以满足关键信息安全岗位人员的能力要求。</w:t>
      </w:r>
    </w:p>
    <w:p w14:paraId="042ED6C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服务频率：两年三人次</w:t>
      </w:r>
    </w:p>
    <w:p w14:paraId="1159E861">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0" w:name="_Toc235738096"/>
      <w:r>
        <w:rPr>
          <w:rFonts w:hint="default" w:ascii="黑体" w:hAnsi="黑体" w:eastAsia="黑体" w:cs="黑体"/>
          <w:color w:val="auto"/>
          <w:sz w:val="32"/>
          <w:szCs w:val="32"/>
          <w:lang w:val="en-US" w:eastAsia="zh-CN"/>
        </w:rPr>
        <w:t>五、终端安全管理系统</w:t>
      </w:r>
      <w:bookmarkEnd w:id="0"/>
    </w:p>
    <w:p w14:paraId="4E55A45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医院拥有较为完善的应用终端，在网络安全防护体系中，终端安全防护及统一管理是必要的一环。对医院整体网络安全防护起到至关重要的作用，终端安全管理系统参数不低于如下：</w:t>
      </w:r>
    </w:p>
    <w:p w14:paraId="6012E5B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中心支持WindowsServer2008r2及以上版本/Windows7及以上版本，终端支持国产操作系统、WindowsServer2003SP1及以上版本/WindowsXP（SP3）/WindowsVista/Windows7及以上版本，支持对Windows、linux、Mac各种不同操作系统版本的客户端统一运维管控。</w:t>
      </w:r>
    </w:p>
    <w:p w14:paraId="78A671B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2.管理中心集成可视化威胁数据概览、终端统一运维管控、漏洞修复、资产管理、级联部署、中心管理、威胁日志报表、邮件预警等八大模块功能，有效针对全网终端安全进行管理与防护。</w:t>
      </w:r>
    </w:p>
    <w:p w14:paraId="1D176D0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终端基于虚拟沙盒环境与通用脱壳技术实现对病毒的有效识别，将病毒防御、系统防御、网络防御和访问控制四大模块深度协作运行，构建主动防御入侵系统，为全网终端保驾护航，具有反病毒底层技术，反病毒引擎为本地反病毒引擎，不依赖云（联网时的病毒查杀能力与断网时的病毒查杀能力一致）具有轻量级的病毒库，却有较强的病毒查杀能力；终端支持GPU加速功能，开启后可提高文件扫描速度。</w:t>
      </w:r>
    </w:p>
    <w:p w14:paraId="520DA3D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4.控制中心支持负载均衡功能，可对主中心配置单个或多个负载中心，终端可根据主中心资源占用情况自动连接到负载中心。</w:t>
      </w:r>
    </w:p>
    <w:p w14:paraId="73C42C9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5.支持终端发现，可以通过扫描发现需要安装但没有安装终端的计算机，以免出现漏管漏控的情况。</w:t>
      </w:r>
    </w:p>
    <w:p w14:paraId="157B752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6.客户端安装后占用硬盘空间150M以内，病毒库大小不超过20M，日常使用内存占用50M左右，有效节省电脑资源；。</w:t>
      </w:r>
    </w:p>
    <w:p w14:paraId="0901774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7.功能可按照模块进行授权，可选择功能授权模块包括:中心定制、远程桌面、U盘管理、终端动态认证、硬件管理、多级中心、API接口、备用中心;可根据需求自定义功能模块。</w:t>
      </w:r>
    </w:p>
    <w:p w14:paraId="1C914C3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8.支持展示全网终端安全概览：终端在线数量、异常终端、今日防御事件、累计保护时长、最新安全动态、终端操作系统概览。</w:t>
      </w:r>
    </w:p>
    <w:p w14:paraId="2DD681D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支持定制防护策略以及策略细粒度配置：包括病毒防御（文件实时监控、恶意行为监控、U盘保护、下载保护、邮件监控、Web扫描）；系统防御（系统加固、应用加固、软件安装拦截、浏览器保护、摄像头防护）；网络防御（网络入侵拦截、对外攻击拦截、恶意网站拦截、横向渗透防护、Web服务保护、暴破攻击防护、僵尸网络防护、远程登录防护）；访问控制（IP协议控制、IP黑名单、联网控制、网站内容控制、程序执行控制、设备控制）；行为管理（软件禁用、违规外联）以及安全工具（弹窗拦截和垃圾清理设置）可根据不同分组需求定制不同的策略。</w:t>
      </w:r>
    </w:p>
    <w:p w14:paraId="3AD6031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10.支持邮件预警功能，当全网发现终端超过1周未更新、中心管理事件、病毒事件、网络攻击事件、系统防护和访问控制事件时，发送邮件通知管理员。</w:t>
      </w:r>
    </w:p>
    <w:p w14:paraId="2B7B69A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11.中心具有登陆二次验证功能，开启该功能后，通过登录中心时进行二次验证的方式，阻止中心遭遇密码泄露、弱口令暴破、撞库等黑客破解行为带来的危害，达到保护控制中心的目的。</w:t>
      </w:r>
    </w:p>
    <w:p w14:paraId="7EC4E6B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12.管理员可设置高危操作动态认证，下发远程桌面任务、添加信任文件或进行文件分发时需要管理员进行二次动态认证后才可执行高危操作。</w:t>
      </w:r>
    </w:p>
    <w:p w14:paraId="033C326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13.支持网络入侵拦截，拦截高危远程漏洞攻击，从而阻止勒索病毒、黑客攻击等通过响应漏洞入侵，可溯源到攻击源的地址，做出有效的动作，阻止病毒爆发。</w:t>
      </w:r>
    </w:p>
    <w:p w14:paraId="2F3766D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要求具有终端动态口令验证功能，当终端用户登录计算机时都将弹出动态口令安全认证窗口，若用户设置了计算机密码，该弹窗将在用户输入正确的账户密码后弹出用户需再次输入正确的动态口令才可登入计算机且可设置应用范围：远程登录时启用或本地登录时启用。</w:t>
      </w:r>
    </w:p>
    <w:p w14:paraId="0F9B1C1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15.支持软件禁用功能，可以设置使用违规软件的处理方式，包括记录、提示卸载以及隔离，可添加软件黑白名单，设置软件是否可用。</w:t>
      </w:r>
    </w:p>
    <w:p w14:paraId="5946132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16.支持违规外联设置，探测终端用户是否有违规连接外部网络的行为，并设置对违规终端关机或者隔离。</w:t>
      </w:r>
    </w:p>
    <w:p w14:paraId="61B44390">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r>
        <w:rPr>
          <w:rFonts w:hint="default" w:ascii="黑体" w:hAnsi="黑体" w:eastAsia="黑体" w:cs="黑体"/>
          <w:color w:val="auto"/>
          <w:sz w:val="32"/>
          <w:szCs w:val="32"/>
          <w:lang w:val="en-US" w:eastAsia="zh-CN"/>
        </w:rPr>
        <w:t>六、准入系统</w:t>
      </w:r>
    </w:p>
    <w:p w14:paraId="23F7DC5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系统用于全院各科室墙面网络面板端口统一管理，实现端口级准入控制，确保只有授权设备（医护电脑、医疗设备）可接入网络，非法设备接入无法通信，保障内网安全与业务稳定。</w:t>
      </w:r>
    </w:p>
    <w:p w14:paraId="5E5EA62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系统支持面板端口与交换机端口一一绑定，可按科室、病房、诊室、床头点位精细化管理；支持MAC/IP/端口绑定、授权认证、VLAN自动切换，对医疗设备提供无客户端准入，不影响设备正常运行。</w:t>
      </w:r>
    </w:p>
    <w:p w14:paraId="7145694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具备端口远程启用/禁用、非法接入告警、私接设备检测、接入行为审计等功能，日志留存不少于6个月，满足等级保护与医院安全管理要求。</w:t>
      </w:r>
    </w:p>
    <w:p w14:paraId="4FB4EFE2">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1" w:name="_Toc235738097"/>
      <w:bookmarkStart w:id="2" w:name="OLE_LINK9"/>
      <w:r>
        <w:rPr>
          <w:rFonts w:hint="default" w:ascii="黑体" w:hAnsi="黑体" w:eastAsia="黑体" w:cs="黑体"/>
          <w:color w:val="auto"/>
          <w:sz w:val="32"/>
          <w:szCs w:val="32"/>
          <w:lang w:val="en-US" w:eastAsia="zh-CN"/>
        </w:rPr>
        <w:t>七、</w:t>
      </w:r>
      <w:bookmarkEnd w:id="1"/>
      <w:r>
        <w:rPr>
          <w:rFonts w:hint="default" w:ascii="黑体" w:hAnsi="黑体" w:eastAsia="黑体" w:cs="黑体"/>
          <w:color w:val="auto"/>
          <w:sz w:val="32"/>
          <w:szCs w:val="32"/>
          <w:lang w:val="en-US" w:eastAsia="zh-CN"/>
        </w:rPr>
        <w:t>配套硬件</w:t>
      </w:r>
    </w:p>
    <w:bookmarkEnd w:id="2"/>
    <w:p w14:paraId="1B8D550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以租赁的形式提供相关配套硬件，服务期间设备软件可升级至最新版本，规则库升级服务，如设备故障提供原厂硬件质保服务，设备清单如下：</w:t>
      </w:r>
    </w:p>
    <w:tbl>
      <w:tblPr>
        <w:tblStyle w:val="8"/>
        <w:tblW w:w="4998" w:type="pct"/>
        <w:tblInd w:w="0" w:type="dxa"/>
        <w:tblLayout w:type="autofit"/>
        <w:tblCellMar>
          <w:top w:w="0" w:type="dxa"/>
          <w:left w:w="108" w:type="dxa"/>
          <w:bottom w:w="0" w:type="dxa"/>
          <w:right w:w="108" w:type="dxa"/>
        </w:tblCellMar>
      </w:tblPr>
      <w:tblGrid>
        <w:gridCol w:w="870"/>
        <w:gridCol w:w="1807"/>
        <w:gridCol w:w="906"/>
        <w:gridCol w:w="3617"/>
        <w:gridCol w:w="902"/>
        <w:gridCol w:w="955"/>
      </w:tblGrid>
      <w:tr w14:paraId="1C595DD7">
        <w:tblPrEx>
          <w:tblCellMar>
            <w:top w:w="0" w:type="dxa"/>
            <w:left w:w="108" w:type="dxa"/>
            <w:bottom w:w="0" w:type="dxa"/>
            <w:right w:w="108" w:type="dxa"/>
          </w:tblCellMar>
        </w:tblPrEx>
        <w:trPr>
          <w:trHeight w:val="500" w:hRule="atLeast"/>
        </w:trPr>
        <w:tc>
          <w:tcPr>
            <w:tcW w:w="480" w:type="pct"/>
            <w:tcBorders>
              <w:top w:val="single" w:color="000000" w:sz="4" w:space="0"/>
              <w:left w:val="single" w:color="000000" w:sz="4" w:space="0"/>
              <w:bottom w:val="single" w:color="000000" w:sz="4" w:space="0"/>
              <w:right w:val="single" w:color="000000" w:sz="4" w:space="0"/>
            </w:tcBorders>
            <w:shd w:val="clear" w:color="auto" w:fill="DFE0E5"/>
            <w:vAlign w:val="center"/>
          </w:tcPr>
          <w:p w14:paraId="47EEAC03">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序号</w:t>
            </w:r>
          </w:p>
        </w:tc>
        <w:tc>
          <w:tcPr>
            <w:tcW w:w="997" w:type="pct"/>
            <w:tcBorders>
              <w:top w:val="single" w:color="000000" w:sz="4" w:space="0"/>
              <w:left w:val="single" w:color="000000" w:sz="4" w:space="0"/>
              <w:bottom w:val="single" w:color="000000" w:sz="4" w:space="0"/>
              <w:right w:val="single" w:color="000000" w:sz="4" w:space="0"/>
            </w:tcBorders>
            <w:shd w:val="clear" w:color="auto" w:fill="DFE0E5"/>
            <w:vAlign w:val="center"/>
          </w:tcPr>
          <w:p w14:paraId="2B679FD9">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设备名称</w:t>
            </w:r>
          </w:p>
        </w:tc>
        <w:tc>
          <w:tcPr>
            <w:tcW w:w="500" w:type="pct"/>
            <w:tcBorders>
              <w:top w:val="single" w:color="000000" w:sz="4" w:space="0"/>
              <w:left w:val="single" w:color="000000" w:sz="4" w:space="0"/>
              <w:bottom w:val="single" w:color="000000" w:sz="4" w:space="0"/>
              <w:right w:val="single" w:color="000000" w:sz="4" w:space="0"/>
            </w:tcBorders>
            <w:shd w:val="clear" w:color="auto" w:fill="DFE0E5"/>
            <w:vAlign w:val="center"/>
          </w:tcPr>
          <w:p w14:paraId="6B71877D">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品牌</w:t>
            </w:r>
          </w:p>
        </w:tc>
        <w:tc>
          <w:tcPr>
            <w:tcW w:w="1996" w:type="pct"/>
            <w:tcBorders>
              <w:top w:val="single" w:color="000000" w:sz="4" w:space="0"/>
              <w:left w:val="single" w:color="000000" w:sz="4" w:space="0"/>
              <w:bottom w:val="single" w:color="000000" w:sz="4" w:space="0"/>
              <w:right w:val="single" w:color="000000" w:sz="4" w:space="0"/>
            </w:tcBorders>
            <w:shd w:val="clear" w:color="auto" w:fill="DFE0E5"/>
            <w:vAlign w:val="center"/>
          </w:tcPr>
          <w:p w14:paraId="694C12CD">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型号规格描述</w:t>
            </w:r>
          </w:p>
        </w:tc>
        <w:tc>
          <w:tcPr>
            <w:tcW w:w="498" w:type="pct"/>
            <w:tcBorders>
              <w:top w:val="single" w:color="000000" w:sz="4" w:space="0"/>
              <w:left w:val="single" w:color="000000" w:sz="4" w:space="0"/>
              <w:bottom w:val="single" w:color="000000" w:sz="4" w:space="0"/>
              <w:right w:val="single" w:color="000000" w:sz="4" w:space="0"/>
            </w:tcBorders>
            <w:shd w:val="clear" w:color="auto" w:fill="DFE0E5"/>
            <w:vAlign w:val="center"/>
          </w:tcPr>
          <w:p w14:paraId="28614198">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单位</w:t>
            </w:r>
          </w:p>
        </w:tc>
        <w:tc>
          <w:tcPr>
            <w:tcW w:w="527" w:type="pct"/>
            <w:tcBorders>
              <w:top w:val="single" w:color="000000" w:sz="4" w:space="0"/>
              <w:left w:val="single" w:color="000000" w:sz="4" w:space="0"/>
              <w:bottom w:val="single" w:color="000000" w:sz="4" w:space="0"/>
              <w:right w:val="single" w:color="000000" w:sz="4" w:space="0"/>
            </w:tcBorders>
            <w:shd w:val="clear" w:color="auto" w:fill="DFE0E5"/>
            <w:vAlign w:val="center"/>
          </w:tcPr>
          <w:p w14:paraId="5229A0FB">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数量</w:t>
            </w:r>
          </w:p>
        </w:tc>
      </w:tr>
      <w:tr w14:paraId="28A76E0E">
        <w:tblPrEx>
          <w:tblCellMar>
            <w:top w:w="0" w:type="dxa"/>
            <w:left w:w="108" w:type="dxa"/>
            <w:bottom w:w="0" w:type="dxa"/>
            <w:right w:w="108" w:type="dxa"/>
          </w:tblCellMar>
        </w:tblPrEx>
        <w:trPr>
          <w:trHeight w:val="1180" w:hRule="atLeast"/>
        </w:trPr>
        <w:tc>
          <w:tcPr>
            <w:tcW w:w="480" w:type="pct"/>
            <w:tcBorders>
              <w:top w:val="single" w:color="000000" w:sz="4" w:space="0"/>
              <w:left w:val="single" w:color="000000" w:sz="4" w:space="0"/>
              <w:bottom w:val="single" w:color="000000" w:sz="4" w:space="0"/>
              <w:right w:val="single" w:color="000000" w:sz="4" w:space="0"/>
            </w:tcBorders>
            <w:noWrap/>
            <w:vAlign w:val="center"/>
          </w:tcPr>
          <w:p w14:paraId="22435DA4">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bookmarkStart w:id="3" w:name="_Hlk235737629"/>
            <w:r>
              <w:rPr>
                <w:rFonts w:hint="default" w:ascii="Times New Roman" w:hAnsi="Times New Roman" w:eastAsia="仿宋_GB2312" w:cs="Times New Roman"/>
                <w:kern w:val="0"/>
                <w:sz w:val="32"/>
                <w:szCs w:val="32"/>
                <w:lang w:val="en-US" w:eastAsia="zh-CN" w:bidi="ar"/>
              </w:rPr>
              <w:t>1</w:t>
            </w:r>
          </w:p>
        </w:tc>
        <w:tc>
          <w:tcPr>
            <w:tcW w:w="997" w:type="pct"/>
            <w:tcBorders>
              <w:top w:val="single" w:color="000000" w:sz="4" w:space="0"/>
              <w:left w:val="single" w:color="000000" w:sz="4" w:space="0"/>
              <w:bottom w:val="single" w:color="000000" w:sz="4" w:space="0"/>
              <w:right w:val="single" w:color="000000" w:sz="4" w:space="0"/>
            </w:tcBorders>
            <w:vAlign w:val="center"/>
          </w:tcPr>
          <w:p w14:paraId="56E6D379">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防火墙</w:t>
            </w:r>
          </w:p>
        </w:tc>
        <w:tc>
          <w:tcPr>
            <w:tcW w:w="500" w:type="pct"/>
            <w:tcBorders>
              <w:top w:val="single" w:color="000000" w:sz="4" w:space="0"/>
              <w:left w:val="single" w:color="000000" w:sz="4" w:space="0"/>
              <w:bottom w:val="single" w:color="000000" w:sz="4" w:space="0"/>
              <w:right w:val="single" w:color="000000" w:sz="4" w:space="0"/>
            </w:tcBorders>
            <w:vAlign w:val="center"/>
          </w:tcPr>
          <w:p w14:paraId="54AC48AF">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w:t>
            </w:r>
          </w:p>
        </w:tc>
        <w:tc>
          <w:tcPr>
            <w:tcW w:w="1996" w:type="pct"/>
            <w:tcBorders>
              <w:top w:val="single" w:color="000000" w:sz="4" w:space="0"/>
              <w:left w:val="single" w:color="000000" w:sz="4" w:space="0"/>
              <w:bottom w:val="single" w:color="000000" w:sz="4" w:space="0"/>
              <w:right w:val="single" w:color="000000" w:sz="4" w:space="0"/>
            </w:tcBorders>
            <w:vAlign w:val="center"/>
          </w:tcPr>
          <w:p w14:paraId="7287022D">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vAlign w:val="center"/>
          </w:tcPr>
          <w:p w14:paraId="51C013A0">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台</w:t>
            </w:r>
          </w:p>
        </w:tc>
        <w:tc>
          <w:tcPr>
            <w:tcW w:w="527" w:type="pct"/>
            <w:tcBorders>
              <w:top w:val="single" w:color="000000" w:sz="4" w:space="0"/>
              <w:left w:val="single" w:color="000000" w:sz="4" w:space="0"/>
              <w:bottom w:val="single" w:color="000000" w:sz="4" w:space="0"/>
              <w:right w:val="single" w:color="000000" w:sz="4" w:space="0"/>
            </w:tcBorders>
            <w:vAlign w:val="center"/>
          </w:tcPr>
          <w:p w14:paraId="70CC45E2">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2</w:t>
            </w:r>
          </w:p>
        </w:tc>
      </w:tr>
      <w:tr w14:paraId="380AF4CD">
        <w:tblPrEx>
          <w:tblCellMar>
            <w:top w:w="0" w:type="dxa"/>
            <w:left w:w="108" w:type="dxa"/>
            <w:bottom w:w="0" w:type="dxa"/>
            <w:right w:w="108" w:type="dxa"/>
          </w:tblCellMar>
        </w:tblPrEx>
        <w:trPr>
          <w:trHeight w:val="830" w:hRule="atLeast"/>
        </w:trPr>
        <w:tc>
          <w:tcPr>
            <w:tcW w:w="480" w:type="pct"/>
            <w:tcBorders>
              <w:top w:val="single" w:color="000000" w:sz="4" w:space="0"/>
              <w:left w:val="single" w:color="000000" w:sz="4" w:space="0"/>
              <w:bottom w:val="single" w:color="000000" w:sz="4" w:space="0"/>
              <w:right w:val="single" w:color="000000" w:sz="4" w:space="0"/>
            </w:tcBorders>
            <w:noWrap/>
            <w:vAlign w:val="center"/>
          </w:tcPr>
          <w:p w14:paraId="2674C8C4">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2</w:t>
            </w:r>
          </w:p>
        </w:tc>
        <w:tc>
          <w:tcPr>
            <w:tcW w:w="997" w:type="pct"/>
            <w:tcBorders>
              <w:top w:val="single" w:color="000000" w:sz="4" w:space="0"/>
              <w:left w:val="single" w:color="000000" w:sz="4" w:space="0"/>
              <w:bottom w:val="single" w:color="000000" w:sz="4" w:space="0"/>
              <w:right w:val="single" w:color="000000" w:sz="4" w:space="0"/>
            </w:tcBorders>
            <w:vAlign w:val="center"/>
          </w:tcPr>
          <w:p w14:paraId="21690EF9">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日志服务器</w:t>
            </w:r>
          </w:p>
        </w:tc>
        <w:tc>
          <w:tcPr>
            <w:tcW w:w="500" w:type="pct"/>
            <w:tcBorders>
              <w:top w:val="single" w:color="000000" w:sz="4" w:space="0"/>
              <w:left w:val="single" w:color="000000" w:sz="4" w:space="0"/>
              <w:bottom w:val="single" w:color="000000" w:sz="4" w:space="0"/>
              <w:right w:val="single" w:color="000000" w:sz="4" w:space="0"/>
            </w:tcBorders>
            <w:vAlign w:val="center"/>
          </w:tcPr>
          <w:p w14:paraId="5F028AC3">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w:t>
            </w:r>
          </w:p>
        </w:tc>
        <w:tc>
          <w:tcPr>
            <w:tcW w:w="1996" w:type="pct"/>
            <w:tcBorders>
              <w:top w:val="single" w:color="000000" w:sz="4" w:space="0"/>
              <w:left w:val="single" w:color="000000" w:sz="4" w:space="0"/>
              <w:bottom w:val="single" w:color="000000" w:sz="4" w:space="0"/>
              <w:right w:val="single" w:color="000000" w:sz="4" w:space="0"/>
            </w:tcBorders>
            <w:vAlign w:val="center"/>
          </w:tcPr>
          <w:p w14:paraId="1744B1C6">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vAlign w:val="center"/>
          </w:tcPr>
          <w:p w14:paraId="16DDA960">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台</w:t>
            </w:r>
          </w:p>
        </w:tc>
        <w:tc>
          <w:tcPr>
            <w:tcW w:w="527" w:type="pct"/>
            <w:tcBorders>
              <w:top w:val="single" w:color="000000" w:sz="4" w:space="0"/>
              <w:left w:val="single" w:color="000000" w:sz="4" w:space="0"/>
              <w:bottom w:val="single" w:color="000000" w:sz="4" w:space="0"/>
              <w:right w:val="single" w:color="000000" w:sz="4" w:space="0"/>
            </w:tcBorders>
            <w:vAlign w:val="center"/>
          </w:tcPr>
          <w:p w14:paraId="0699FAD7">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r>
      <w:bookmarkEnd w:id="3"/>
    </w:tbl>
    <w:p w14:paraId="6520BD99">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4" w:name="_Toc235738098"/>
      <w:r>
        <w:rPr>
          <w:rFonts w:hint="default" w:ascii="黑体" w:hAnsi="黑体" w:eastAsia="黑体" w:cs="黑体"/>
          <w:color w:val="auto"/>
          <w:sz w:val="32"/>
          <w:szCs w:val="32"/>
          <w:lang w:val="en-US" w:eastAsia="zh-CN"/>
        </w:rPr>
        <w:t>八、等保测评服务</w:t>
      </w:r>
      <w:bookmarkEnd w:id="4"/>
    </w:p>
    <w:p w14:paraId="5E9C778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依据《信息安全等级保护管理办法》、《信息系统安全保护等级实施指南》，遵循《网络安全等级保护基本要求》（GB/T22239-2019）等技术标准，医院现有信息系统、官网需开展等级保护测评（二级）。从每个信息系统的安全物理环境、安全通信网络、安全区域边界、安全计算环境、安全管理中心、安全管理制度、安全管理机构、安全管理人员、安全建设管理、安全运维管理等10个层面进行测评，明确安全责任，了解安全保护现状，差距分析，排查安全隐患，明确安全需求，并为确立安全策略、制定安全规划、配合开展安全建设整改工作，交付成果《网络安全等级保护等级测评报告》。</w:t>
      </w:r>
    </w:p>
    <w:p w14:paraId="477C022F">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5" w:name="_Toc235738099"/>
      <w:r>
        <w:rPr>
          <w:rFonts w:hint="default" w:ascii="黑体" w:hAnsi="黑体" w:eastAsia="黑体" w:cs="黑体"/>
          <w:color w:val="auto"/>
          <w:sz w:val="32"/>
          <w:szCs w:val="32"/>
          <w:lang w:val="en-US" w:eastAsia="zh-CN"/>
        </w:rPr>
        <w:t>九、商务条款</w:t>
      </w:r>
      <w:bookmarkEnd w:id="5"/>
    </w:p>
    <w:p w14:paraId="44B6B45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1.施工期：</w:t>
      </w:r>
      <w:r>
        <w:rPr>
          <w:rFonts w:hint="eastAsia"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个月（按采购人书面入场通知书要求的进场时间开始计算工期，中标人需在1个月内硬件到货，</w:t>
      </w:r>
      <w:r>
        <w:rPr>
          <w:rFonts w:hint="eastAsia"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个月内全部硬件完成安装调试并上线运行）。如采购人未在规定时间期限内完成上线运行，每超出一天，处以合同总金额0.5%的处罚，此项处罚最高限额为合同总价的20%，如采购人超过施工期40天仍未完成上线运行，采购人可以终止合同。</w:t>
      </w:r>
    </w:p>
    <w:p w14:paraId="6ED7209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2.服务期：12个月，全部硬件完成安装调试并上线运行经院方测试通过认可后开始计算服务期。</w:t>
      </w:r>
    </w:p>
    <w:p w14:paraId="306CBD5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3.交货地点：采购人指定地点。</w:t>
      </w:r>
    </w:p>
    <w:p w14:paraId="1199AF5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4.履约保证金：合同金额的5%，服务期满且验收合格后无息返还履约保证金。</w:t>
      </w:r>
    </w:p>
    <w:p w14:paraId="551BA43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付款方式：硬件到货，全部完成安装调试上线运行，经院方确认使用正常后，采购人向中标人支付合同金额的40%。服务期满一年后，采购人向中标人支付合同金额的30%，服务期满支付合同金额的30%，并无息退还项目履约保证金。</w:t>
      </w:r>
    </w:p>
    <w:p w14:paraId="6AAD1F62">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6" w:name="_Toc235738100"/>
      <w:r>
        <w:rPr>
          <w:rFonts w:hint="default" w:ascii="黑体" w:hAnsi="黑体" w:eastAsia="黑体" w:cs="黑体"/>
          <w:color w:val="auto"/>
          <w:sz w:val="32"/>
          <w:szCs w:val="32"/>
          <w:lang w:val="en-US" w:eastAsia="zh-CN"/>
        </w:rPr>
        <w:t>十、责任考核制度和处罚机制</w:t>
      </w:r>
      <w:bookmarkEnd w:id="6"/>
    </w:p>
    <w:p w14:paraId="6E52CD9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1.院方按照以下责任考核制度和处罚机制定期对中标人进行考核，责任考核制度和处罚机制均在采购人书面入场通知书要求的进场时间后开始生效。</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904"/>
        <w:gridCol w:w="906"/>
        <w:gridCol w:w="3162"/>
        <w:gridCol w:w="3522"/>
      </w:tblGrid>
      <w:tr w14:paraId="500E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0DA3C947">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序号</w:t>
            </w:r>
          </w:p>
        </w:tc>
        <w:tc>
          <w:tcPr>
            <w:tcW w:w="499" w:type="pct"/>
            <w:vAlign w:val="center"/>
          </w:tcPr>
          <w:p w14:paraId="7D22A5BE">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考核大类</w:t>
            </w:r>
          </w:p>
        </w:tc>
        <w:tc>
          <w:tcPr>
            <w:tcW w:w="500" w:type="pct"/>
            <w:vAlign w:val="center"/>
          </w:tcPr>
          <w:p w14:paraId="1E63030A">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考核项目</w:t>
            </w:r>
          </w:p>
        </w:tc>
        <w:tc>
          <w:tcPr>
            <w:tcW w:w="1745" w:type="pct"/>
            <w:vAlign w:val="center"/>
          </w:tcPr>
          <w:p w14:paraId="6D9D50A0">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考核说明</w:t>
            </w:r>
          </w:p>
        </w:tc>
        <w:tc>
          <w:tcPr>
            <w:tcW w:w="1943" w:type="pct"/>
            <w:vAlign w:val="center"/>
          </w:tcPr>
          <w:p w14:paraId="08FE9E4E">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罚则</w:t>
            </w:r>
          </w:p>
        </w:tc>
      </w:tr>
      <w:tr w14:paraId="3ADF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17B8FF47">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499" w:type="pct"/>
            <w:vMerge w:val="restart"/>
            <w:vAlign w:val="center"/>
          </w:tcPr>
          <w:p w14:paraId="2FF069FB">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技术</w:t>
            </w:r>
          </w:p>
        </w:tc>
        <w:tc>
          <w:tcPr>
            <w:tcW w:w="500" w:type="pct"/>
            <w:vAlign w:val="center"/>
          </w:tcPr>
          <w:p w14:paraId="4488B07A">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网络安全</w:t>
            </w:r>
          </w:p>
        </w:tc>
        <w:tc>
          <w:tcPr>
            <w:tcW w:w="1745" w:type="pct"/>
            <w:vAlign w:val="center"/>
          </w:tcPr>
          <w:p w14:paraId="4E6E466F">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因恶意病毒、安全攻击事件造成网络故障（不含设备故障类）影响超过20%的部门人员无法正常使用，包括无法连接互联网或内网正常连接请求无法响应等，造成网络瘫痪不可用。</w:t>
            </w:r>
          </w:p>
        </w:tc>
        <w:tc>
          <w:tcPr>
            <w:tcW w:w="1943" w:type="pct"/>
            <w:vAlign w:val="center"/>
          </w:tcPr>
          <w:p w14:paraId="75A9F67B">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网络瘫痪超过1小时不可用，扣除安全服务合同金额0.5%；网络瘫痪超过2小时不可用，扣除本年度安全服务合同金额1%。</w:t>
            </w:r>
          </w:p>
        </w:tc>
      </w:tr>
      <w:tr w14:paraId="164D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0326F841">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2</w:t>
            </w:r>
          </w:p>
        </w:tc>
        <w:tc>
          <w:tcPr>
            <w:tcW w:w="499" w:type="pct"/>
            <w:vMerge w:val="continue"/>
            <w:vAlign w:val="center"/>
          </w:tcPr>
          <w:p w14:paraId="49BB6CDD">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p>
        </w:tc>
        <w:tc>
          <w:tcPr>
            <w:tcW w:w="500" w:type="pct"/>
            <w:vAlign w:val="center"/>
          </w:tcPr>
          <w:p w14:paraId="0CD61847">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终端安全</w:t>
            </w:r>
          </w:p>
        </w:tc>
        <w:tc>
          <w:tcPr>
            <w:tcW w:w="1745" w:type="pct"/>
            <w:vAlign w:val="center"/>
          </w:tcPr>
          <w:p w14:paraId="1B904759">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发生终端安全病毒大面积传播，终端中病毒数量高于5%。</w:t>
            </w:r>
          </w:p>
        </w:tc>
        <w:tc>
          <w:tcPr>
            <w:tcW w:w="1943" w:type="pct"/>
            <w:vAlign w:val="center"/>
          </w:tcPr>
          <w:p w14:paraId="7CDBC2DF">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首次发生，扣除安全服务合同金额1%，第二次以后扣罚合同金额5%。</w:t>
            </w:r>
          </w:p>
        </w:tc>
      </w:tr>
      <w:tr w14:paraId="478A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68D5EE82">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3</w:t>
            </w:r>
          </w:p>
        </w:tc>
        <w:tc>
          <w:tcPr>
            <w:tcW w:w="499" w:type="pct"/>
            <w:vMerge w:val="continue"/>
            <w:vAlign w:val="center"/>
          </w:tcPr>
          <w:p w14:paraId="32EBB678">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p>
        </w:tc>
        <w:tc>
          <w:tcPr>
            <w:tcW w:w="500" w:type="pct"/>
            <w:vAlign w:val="center"/>
          </w:tcPr>
          <w:p w14:paraId="3B62EB48">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终端安全</w:t>
            </w:r>
          </w:p>
        </w:tc>
        <w:tc>
          <w:tcPr>
            <w:tcW w:w="1745" w:type="pct"/>
            <w:vAlign w:val="center"/>
          </w:tcPr>
          <w:p w14:paraId="65DB884C">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因终端安全问题造成业务部门业务中断或门急诊业务中断。</w:t>
            </w:r>
          </w:p>
        </w:tc>
        <w:tc>
          <w:tcPr>
            <w:tcW w:w="1943" w:type="pct"/>
            <w:vAlign w:val="center"/>
          </w:tcPr>
          <w:p w14:paraId="40F9A894">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业务部门业务中断超过1小时未修复，门急诊业务中断超过0.5小时未修复，扣除安全服务合同金额0.5%；业务部门业务中断超过2小时未修复，门急诊业务中断超过1小时未修复，扣除安全服务合同金额1%；</w:t>
            </w:r>
          </w:p>
        </w:tc>
      </w:tr>
      <w:tr w14:paraId="35C3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5ECCF353">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4</w:t>
            </w:r>
          </w:p>
        </w:tc>
        <w:tc>
          <w:tcPr>
            <w:tcW w:w="499" w:type="pct"/>
            <w:vMerge w:val="restart"/>
            <w:vAlign w:val="center"/>
          </w:tcPr>
          <w:p w14:paraId="03538922">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质量</w:t>
            </w:r>
          </w:p>
        </w:tc>
        <w:tc>
          <w:tcPr>
            <w:tcW w:w="500" w:type="pct"/>
            <w:vAlign w:val="center"/>
          </w:tcPr>
          <w:p w14:paraId="57394FC2">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服务文档质量</w:t>
            </w:r>
          </w:p>
        </w:tc>
        <w:tc>
          <w:tcPr>
            <w:tcW w:w="1745" w:type="pct"/>
            <w:vAlign w:val="center"/>
          </w:tcPr>
          <w:p w14:paraId="752CED4F">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交付文档的质量不能满足客户模板及内容要求的</w:t>
            </w:r>
          </w:p>
        </w:tc>
        <w:tc>
          <w:tcPr>
            <w:tcW w:w="1943" w:type="pct"/>
            <w:vAlign w:val="center"/>
          </w:tcPr>
          <w:p w14:paraId="0C3AD00A">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首次发生,扣除安全服务合同金额0.05%，第二次及以后，在上一次罚则的基础上，金额加20%，每次罚款金额以1%为上限。</w:t>
            </w:r>
          </w:p>
        </w:tc>
      </w:tr>
      <w:tr w14:paraId="2812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24A5F6FF">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5</w:t>
            </w:r>
          </w:p>
        </w:tc>
        <w:tc>
          <w:tcPr>
            <w:tcW w:w="499" w:type="pct"/>
            <w:vMerge w:val="continue"/>
            <w:vAlign w:val="center"/>
          </w:tcPr>
          <w:p w14:paraId="5FAFBA11">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p>
        </w:tc>
        <w:tc>
          <w:tcPr>
            <w:tcW w:w="500" w:type="pct"/>
            <w:vAlign w:val="center"/>
          </w:tcPr>
          <w:p w14:paraId="430DBD1F">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问题解决质量</w:t>
            </w:r>
          </w:p>
        </w:tc>
        <w:tc>
          <w:tcPr>
            <w:tcW w:w="1745" w:type="pct"/>
            <w:vAlign w:val="center"/>
          </w:tcPr>
          <w:p w14:paraId="31A9F068">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发生服务质量问题后，是否能够给出合理的解释，以及完整、有效的解决方案。不能给出相关方案的。</w:t>
            </w:r>
          </w:p>
        </w:tc>
        <w:tc>
          <w:tcPr>
            <w:tcW w:w="1943" w:type="pct"/>
            <w:vAlign w:val="center"/>
          </w:tcPr>
          <w:p w14:paraId="2ECEF1E7">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首次发生，扣除安全服务合同金额0.05%，第二次及以后，在上一次罚则的基础上，金额加20%，每次罚款金额以1%为上限。</w:t>
            </w:r>
          </w:p>
        </w:tc>
      </w:tr>
      <w:tr w14:paraId="2F52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4742B51B">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6</w:t>
            </w:r>
          </w:p>
        </w:tc>
        <w:tc>
          <w:tcPr>
            <w:tcW w:w="499" w:type="pct"/>
            <w:vMerge w:val="restart"/>
            <w:vAlign w:val="center"/>
          </w:tcPr>
          <w:p w14:paraId="05CF5E1C">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w:t>
            </w:r>
          </w:p>
        </w:tc>
        <w:tc>
          <w:tcPr>
            <w:tcW w:w="500" w:type="pct"/>
            <w:vAlign w:val="center"/>
          </w:tcPr>
          <w:p w14:paraId="040E6D17">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服务专业性</w:t>
            </w:r>
          </w:p>
        </w:tc>
        <w:tc>
          <w:tcPr>
            <w:tcW w:w="1745" w:type="pct"/>
            <w:vAlign w:val="center"/>
          </w:tcPr>
          <w:p w14:paraId="1F498521">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服务人员是否具备相应技术素质和工作能力，出现不满足技术要求的。</w:t>
            </w:r>
          </w:p>
        </w:tc>
        <w:tc>
          <w:tcPr>
            <w:tcW w:w="1943" w:type="pct"/>
            <w:vAlign w:val="center"/>
          </w:tcPr>
          <w:p w14:paraId="305914AD">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首次发生，扣除安全服务合同金额0.05%，第二次及以后，在上一次罚则的基础上，金额加20%，每次罚款金额以1%为上限。</w:t>
            </w:r>
          </w:p>
        </w:tc>
      </w:tr>
      <w:tr w14:paraId="0C98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1395CFF6">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7</w:t>
            </w:r>
          </w:p>
        </w:tc>
        <w:tc>
          <w:tcPr>
            <w:tcW w:w="499" w:type="pct"/>
            <w:vMerge w:val="continue"/>
            <w:vAlign w:val="center"/>
          </w:tcPr>
          <w:p w14:paraId="27247183">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p>
        </w:tc>
        <w:tc>
          <w:tcPr>
            <w:tcW w:w="500" w:type="pct"/>
            <w:vAlign w:val="center"/>
          </w:tcPr>
          <w:p w14:paraId="46094D55">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服务及时性</w:t>
            </w:r>
          </w:p>
        </w:tc>
        <w:tc>
          <w:tcPr>
            <w:tcW w:w="1745" w:type="pct"/>
            <w:vAlign w:val="center"/>
          </w:tcPr>
          <w:p w14:paraId="7B8CEDB6">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是否按照既定时间完成服务成果提交，出现不满足要求的。</w:t>
            </w:r>
          </w:p>
        </w:tc>
        <w:tc>
          <w:tcPr>
            <w:tcW w:w="1943" w:type="pct"/>
            <w:vAlign w:val="center"/>
          </w:tcPr>
          <w:p w14:paraId="7D71FDF9">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首次发生，扣除安全服务合同金额0.025%，第二次及以后，在上一次罚则的基础上，金额加20%，每次罚款金额以1%为上限。</w:t>
            </w:r>
          </w:p>
        </w:tc>
      </w:tr>
      <w:tr w14:paraId="7898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3AA5B958">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8</w:t>
            </w:r>
          </w:p>
        </w:tc>
        <w:tc>
          <w:tcPr>
            <w:tcW w:w="499" w:type="pct"/>
            <w:vMerge w:val="continue"/>
            <w:vAlign w:val="center"/>
          </w:tcPr>
          <w:p w14:paraId="0E0D5A81">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p>
        </w:tc>
        <w:tc>
          <w:tcPr>
            <w:tcW w:w="500" w:type="pct"/>
            <w:vAlign w:val="center"/>
          </w:tcPr>
          <w:p w14:paraId="19384115">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服务态度</w:t>
            </w:r>
          </w:p>
        </w:tc>
        <w:tc>
          <w:tcPr>
            <w:tcW w:w="1745" w:type="pct"/>
            <w:vAlign w:val="center"/>
          </w:tcPr>
          <w:p w14:paraId="684E020F">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服务人员因工作态度问题被院方投诉。</w:t>
            </w:r>
          </w:p>
        </w:tc>
        <w:tc>
          <w:tcPr>
            <w:tcW w:w="1943" w:type="pct"/>
            <w:vAlign w:val="center"/>
          </w:tcPr>
          <w:p w14:paraId="52F4EBA7">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首次发生，扣除安全服务合同金额0.025%，第二次及以后，在上一次罚则的基础上，金额加20%，每次罚款金额以1%为上限。</w:t>
            </w:r>
          </w:p>
        </w:tc>
      </w:tr>
      <w:tr w14:paraId="70DC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 w:type="pct"/>
            <w:vAlign w:val="center"/>
          </w:tcPr>
          <w:p w14:paraId="7D3423D8">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9</w:t>
            </w:r>
          </w:p>
        </w:tc>
        <w:tc>
          <w:tcPr>
            <w:tcW w:w="499" w:type="pct"/>
            <w:vMerge w:val="continue"/>
            <w:vAlign w:val="center"/>
          </w:tcPr>
          <w:p w14:paraId="455A4DB1">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p>
        </w:tc>
        <w:tc>
          <w:tcPr>
            <w:tcW w:w="500" w:type="pct"/>
            <w:vAlign w:val="center"/>
          </w:tcPr>
          <w:p w14:paraId="4A0B669D">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服务满意度</w:t>
            </w:r>
          </w:p>
        </w:tc>
        <w:tc>
          <w:tcPr>
            <w:tcW w:w="1745" w:type="pct"/>
            <w:vAlign w:val="center"/>
          </w:tcPr>
          <w:p w14:paraId="51A2B155">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每季度开展1次服务满意度评测，若服务满意度为不满意。</w:t>
            </w:r>
          </w:p>
        </w:tc>
        <w:tc>
          <w:tcPr>
            <w:tcW w:w="1943" w:type="pct"/>
            <w:vAlign w:val="center"/>
          </w:tcPr>
          <w:p w14:paraId="7ADAB7B9">
            <w:pPr>
              <w:keepNext w:val="0"/>
              <w:keepLines w:val="0"/>
              <w:pageBreakBefore w:val="0"/>
              <w:widowControl/>
              <w:kinsoku/>
              <w:wordWrap/>
              <w:overflowPunct/>
              <w:topLinePunct w:val="0"/>
              <w:bidi w:val="0"/>
              <w:snapToGrid/>
              <w:spacing w:line="560" w:lineRule="exact"/>
              <w:jc w:val="both"/>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首次发生，扣除安全服务合同金额0.025%，第二次及以后，在上一次罚则的基础上，金额加20%，每次罚款金额以1%为上限。</w:t>
            </w:r>
          </w:p>
        </w:tc>
      </w:tr>
    </w:tbl>
    <w:p w14:paraId="0117BA1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在服务期间内出现以下场景，中标方需要向院方支付赔偿金：因网络安全工作开展不利（如日志留存不符合要求、存在重大高危漏洞等），导致医院被第三方检查机构或监管机构开出网络安全罚单，中标方对罚单金额进行全额赔付。</w:t>
      </w:r>
    </w:p>
    <w:p w14:paraId="0DF78E0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3.投标人投标时，必须向院方提供拟派参加本项目的人员名单且向院方保证人员组织的稳定性，在本项目结束前，参加本项目的关键人员变动必须取得院方同意。</w:t>
      </w:r>
    </w:p>
    <w:p w14:paraId="235C2A4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4.中标人应严格遵守协议中关于项目实施的若干技术质量规定，制定严格的质量安全措施。由于中标人质量安全措施不力造成项目质量安全事故的责任，以及由此发生的费用和损失，由中标人承担。</w:t>
      </w:r>
    </w:p>
    <w:p w14:paraId="6197A7F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中标人担保合同所提供的成果不侵犯任何有关部门专利、商标、行业设计、版权及其它知识产权或所有权，所有因此引起的法律行为均由中标人负责。中标人应对因与任何以上知识产权或所有权引发的有关诉讼或行为提供赔偿。</w:t>
      </w:r>
    </w:p>
    <w:p w14:paraId="64EDAD3A">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7" w:name="_Toc235738101"/>
      <w:r>
        <w:rPr>
          <w:rFonts w:hint="default" w:ascii="黑体" w:hAnsi="黑体" w:eastAsia="黑体" w:cs="黑体"/>
          <w:color w:val="auto"/>
          <w:sz w:val="32"/>
          <w:szCs w:val="32"/>
          <w:lang w:val="en-US" w:eastAsia="zh-CN"/>
        </w:rPr>
        <w:t>十一、安全服务驻场人员管理制度</w:t>
      </w:r>
      <w:bookmarkEnd w:id="7"/>
    </w:p>
    <w:p w14:paraId="3E2EACF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驻场人员日常实行6*8上班方式，上下班时间同院方进行钉钉打卡。如碰各种设备故障或异常时，以及国家法定节假日或院方的重大事件时，甲方需要进行特殊保障，则按7*24小时来执行上班时间，并且服从院方的值班安排。</w:t>
      </w:r>
    </w:p>
    <w:p w14:paraId="4BA8761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在格遵守院方的办公时间,不得迟到早退。事假、病假需提前一天由中标方主管通知院方管理人员。得到院方管理人员同意后方可请假。无故不来或迟到早退的，第一次扣罚500元质保金，第二次扣罚1000元，以此类推。</w:t>
      </w:r>
    </w:p>
    <w:p w14:paraId="3ACF57E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3.对所担负的工作争取时效，不拖延、不积压。不按时完成院方派发的工作任务，超时一次扣罚500元质保金，第二次扣罚1000元，第三次2000元，超过三次院方可终止合同并扣除履约保证金。</w:t>
      </w:r>
    </w:p>
    <w:p w14:paraId="0DCF693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4.遵守院方的一切规章及工作守则。工作期间衣着、发式整洁，大方得体，禁止奇装异服或过于曝露的服装。男士不得留长发、怪发，留胡子。禁止在办公区内吸烟，随时保持办公区整洁。</w:t>
      </w:r>
    </w:p>
    <w:p w14:paraId="0EF481E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办公时间不从事与本岗位无关的活动，不准在上班时间吃零食、睡觉、干私活、浏览与工作无关的网站、看与工作无关的书籍报刊。服从院方管理，院方派发的任何任务，应立即解决处理，自己无法处理的联系公司安排其他人员即时处理。</w:t>
      </w:r>
    </w:p>
    <w:p w14:paraId="5CA0C28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驻场人员必须保守客户单位的机密，未征得同意，不得使用他人计算机，不得随意翻看他人办公资料物品。妥善保管所持有的各类资料和文档。未经授权或批准，不准对外提供任何文档和数据等。一经发现直接法律追责。</w:t>
      </w:r>
    </w:p>
    <w:p w14:paraId="1ADAB71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default" w:ascii="黑体" w:hAnsi="黑体" w:eastAsia="黑体" w:cs="黑体"/>
          <w:color w:val="auto"/>
          <w:sz w:val="32"/>
          <w:szCs w:val="32"/>
          <w:lang w:val="en-US" w:eastAsia="zh-CN"/>
        </w:rPr>
      </w:pPr>
      <w:bookmarkStart w:id="8" w:name="_Toc235738102"/>
      <w:r>
        <w:rPr>
          <w:rFonts w:hint="default" w:ascii="黑体" w:hAnsi="黑体" w:eastAsia="黑体" w:cs="黑体"/>
          <w:color w:val="auto"/>
          <w:sz w:val="32"/>
          <w:szCs w:val="32"/>
          <w:lang w:val="en-US" w:eastAsia="zh-CN"/>
        </w:rPr>
        <w:t>十二、报价清单</w:t>
      </w:r>
      <w:bookmarkEnd w:id="8"/>
    </w:p>
    <w:tbl>
      <w:tblPr>
        <w:tblStyle w:val="8"/>
        <w:tblW w:w="9150" w:type="dxa"/>
        <w:tblInd w:w="-81" w:type="dxa"/>
        <w:tblLayout w:type="fixed"/>
        <w:tblCellMar>
          <w:top w:w="0" w:type="dxa"/>
          <w:left w:w="108" w:type="dxa"/>
          <w:bottom w:w="0" w:type="dxa"/>
          <w:right w:w="108" w:type="dxa"/>
        </w:tblCellMar>
      </w:tblPr>
      <w:tblGrid>
        <w:gridCol w:w="2058"/>
        <w:gridCol w:w="2355"/>
        <w:gridCol w:w="1512"/>
        <w:gridCol w:w="675"/>
        <w:gridCol w:w="989"/>
        <w:gridCol w:w="1561"/>
      </w:tblGrid>
      <w:tr w14:paraId="210A9926">
        <w:tblPrEx>
          <w:tblCellMar>
            <w:top w:w="0" w:type="dxa"/>
            <w:left w:w="108" w:type="dxa"/>
            <w:bottom w:w="0" w:type="dxa"/>
            <w:right w:w="108" w:type="dxa"/>
          </w:tblCellMar>
        </w:tblPrEx>
        <w:trPr>
          <w:trHeight w:val="375" w:hRule="atLeast"/>
        </w:trPr>
        <w:tc>
          <w:tcPr>
            <w:tcW w:w="2058" w:type="dxa"/>
            <w:tcBorders>
              <w:top w:val="single" w:color="000000" w:sz="4" w:space="0"/>
              <w:left w:val="single" w:color="000000" w:sz="4" w:space="0"/>
              <w:bottom w:val="single" w:color="auto" w:sz="4" w:space="0"/>
              <w:right w:val="single" w:color="000000" w:sz="4" w:space="0"/>
            </w:tcBorders>
            <w:noWrap/>
            <w:vAlign w:val="top"/>
          </w:tcPr>
          <w:p w14:paraId="176AEE94">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项目大类</w:t>
            </w:r>
          </w:p>
        </w:tc>
        <w:tc>
          <w:tcPr>
            <w:tcW w:w="2355" w:type="dxa"/>
            <w:tcBorders>
              <w:top w:val="single" w:color="000000" w:sz="4" w:space="0"/>
              <w:left w:val="single" w:color="000000" w:sz="4" w:space="0"/>
              <w:bottom w:val="nil"/>
              <w:right w:val="single" w:color="000000" w:sz="4" w:space="0"/>
            </w:tcBorders>
            <w:noWrap/>
            <w:vAlign w:val="top"/>
          </w:tcPr>
          <w:p w14:paraId="4CC9F582">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项目名称</w:t>
            </w:r>
          </w:p>
        </w:tc>
        <w:tc>
          <w:tcPr>
            <w:tcW w:w="1512" w:type="dxa"/>
            <w:tcBorders>
              <w:top w:val="single" w:color="000000" w:sz="4" w:space="0"/>
              <w:left w:val="single" w:color="000000" w:sz="4" w:space="0"/>
              <w:bottom w:val="nil"/>
              <w:right w:val="single" w:color="000000" w:sz="4" w:space="0"/>
            </w:tcBorders>
            <w:noWrap/>
            <w:vAlign w:val="top"/>
          </w:tcPr>
          <w:p w14:paraId="1DE75A03">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单位</w:t>
            </w:r>
          </w:p>
        </w:tc>
        <w:tc>
          <w:tcPr>
            <w:tcW w:w="675" w:type="dxa"/>
            <w:tcBorders>
              <w:top w:val="single" w:color="000000" w:sz="4" w:space="0"/>
              <w:left w:val="single" w:color="000000" w:sz="4" w:space="0"/>
              <w:bottom w:val="nil"/>
              <w:right w:val="single" w:color="000000" w:sz="4" w:space="0"/>
            </w:tcBorders>
            <w:noWrap/>
            <w:vAlign w:val="top"/>
          </w:tcPr>
          <w:p w14:paraId="26BDFB21">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数量</w:t>
            </w:r>
          </w:p>
        </w:tc>
        <w:tc>
          <w:tcPr>
            <w:tcW w:w="989" w:type="dxa"/>
            <w:tcBorders>
              <w:top w:val="single" w:color="000000" w:sz="4" w:space="0"/>
              <w:left w:val="single" w:color="000000" w:sz="4" w:space="0"/>
              <w:bottom w:val="nil"/>
              <w:right w:val="single" w:color="000000" w:sz="4" w:space="0"/>
            </w:tcBorders>
            <w:noWrap/>
            <w:vAlign w:val="top"/>
          </w:tcPr>
          <w:p w14:paraId="3385CC4C">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单价（元）</w:t>
            </w:r>
          </w:p>
        </w:tc>
        <w:tc>
          <w:tcPr>
            <w:tcW w:w="1561" w:type="dxa"/>
            <w:tcBorders>
              <w:top w:val="single" w:color="000000" w:sz="4" w:space="0"/>
              <w:left w:val="single" w:color="000000" w:sz="4" w:space="0"/>
              <w:bottom w:val="nil"/>
              <w:right w:val="single" w:color="000000" w:sz="4" w:space="0"/>
            </w:tcBorders>
            <w:noWrap/>
            <w:vAlign w:val="top"/>
          </w:tcPr>
          <w:p w14:paraId="54BA1772">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总价（元）</w:t>
            </w:r>
          </w:p>
        </w:tc>
      </w:tr>
      <w:tr w14:paraId="4F19048C">
        <w:tblPrEx>
          <w:tblCellMar>
            <w:top w:w="0" w:type="dxa"/>
            <w:left w:w="108" w:type="dxa"/>
            <w:bottom w:w="0" w:type="dxa"/>
            <w:right w:w="108" w:type="dxa"/>
          </w:tblCellMar>
        </w:tblPrEx>
        <w:trPr>
          <w:trHeight w:val="479" w:hRule="atLeast"/>
        </w:trPr>
        <w:tc>
          <w:tcPr>
            <w:tcW w:w="2058" w:type="dxa"/>
            <w:vMerge w:val="restart"/>
            <w:tcBorders>
              <w:top w:val="single" w:color="auto" w:sz="4" w:space="0"/>
              <w:left w:val="single" w:color="auto" w:sz="4" w:space="0"/>
              <w:bottom w:val="single" w:color="auto" w:sz="4" w:space="0"/>
              <w:right w:val="single" w:color="auto" w:sz="4" w:space="0"/>
            </w:tcBorders>
            <w:noWrap/>
            <w:vAlign w:val="top"/>
          </w:tcPr>
          <w:p w14:paraId="42E090FB">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网络安全服务</w:t>
            </w:r>
          </w:p>
        </w:tc>
        <w:tc>
          <w:tcPr>
            <w:tcW w:w="2355" w:type="dxa"/>
            <w:tcBorders>
              <w:top w:val="single" w:color="000000" w:sz="4" w:space="0"/>
              <w:left w:val="single" w:color="auto" w:sz="4" w:space="0"/>
              <w:bottom w:val="single" w:color="000000" w:sz="4" w:space="0"/>
              <w:right w:val="single" w:color="000000" w:sz="4" w:space="0"/>
            </w:tcBorders>
            <w:noWrap/>
            <w:vAlign w:val="top"/>
          </w:tcPr>
          <w:p w14:paraId="0E2B9AF8">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安全团队服务</w:t>
            </w:r>
          </w:p>
        </w:tc>
        <w:tc>
          <w:tcPr>
            <w:tcW w:w="1512" w:type="dxa"/>
            <w:tcBorders>
              <w:top w:val="single" w:color="000000" w:sz="4" w:space="0"/>
              <w:left w:val="single" w:color="000000" w:sz="4" w:space="0"/>
              <w:bottom w:val="single" w:color="000000" w:sz="4" w:space="0"/>
              <w:right w:val="single" w:color="000000" w:sz="4" w:space="0"/>
            </w:tcBorders>
            <w:noWrap/>
            <w:vAlign w:val="top"/>
          </w:tcPr>
          <w:p w14:paraId="678D3177">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项</w:t>
            </w:r>
          </w:p>
        </w:tc>
        <w:tc>
          <w:tcPr>
            <w:tcW w:w="675" w:type="dxa"/>
            <w:tcBorders>
              <w:top w:val="single" w:color="000000" w:sz="4" w:space="0"/>
              <w:left w:val="single" w:color="000000" w:sz="4" w:space="0"/>
              <w:bottom w:val="single" w:color="000000" w:sz="4" w:space="0"/>
              <w:right w:val="single" w:color="000000" w:sz="4" w:space="0"/>
            </w:tcBorders>
            <w:noWrap/>
            <w:vAlign w:val="top"/>
          </w:tcPr>
          <w:p w14:paraId="69D25E68">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989" w:type="dxa"/>
            <w:tcBorders>
              <w:top w:val="single" w:color="000000" w:sz="4" w:space="0"/>
              <w:left w:val="single" w:color="000000" w:sz="4" w:space="0"/>
              <w:bottom w:val="single" w:color="000000" w:sz="4" w:space="0"/>
              <w:right w:val="single" w:color="000000" w:sz="4" w:space="0"/>
            </w:tcBorders>
            <w:noWrap/>
            <w:vAlign w:val="top"/>
          </w:tcPr>
          <w:p w14:paraId="0DD8CCA2">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1561" w:type="dxa"/>
            <w:tcBorders>
              <w:top w:val="single" w:color="000000" w:sz="4" w:space="0"/>
              <w:left w:val="single" w:color="000000" w:sz="4" w:space="0"/>
              <w:bottom w:val="single" w:color="000000" w:sz="4" w:space="0"/>
              <w:right w:val="single" w:color="000000" w:sz="4" w:space="0"/>
            </w:tcBorders>
            <w:noWrap/>
            <w:vAlign w:val="top"/>
          </w:tcPr>
          <w:p w14:paraId="2B49F01A">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r>
      <w:tr w14:paraId="57CDC8F2">
        <w:tblPrEx>
          <w:tblCellMar>
            <w:top w:w="0" w:type="dxa"/>
            <w:left w:w="108" w:type="dxa"/>
            <w:bottom w:w="0" w:type="dxa"/>
            <w:right w:w="108" w:type="dxa"/>
          </w:tblCellMar>
        </w:tblPrEx>
        <w:trPr>
          <w:trHeight w:val="359" w:hRule="atLeast"/>
        </w:trPr>
        <w:tc>
          <w:tcPr>
            <w:tcW w:w="2058" w:type="dxa"/>
            <w:vMerge w:val="continue"/>
            <w:tcBorders>
              <w:top w:val="single" w:color="auto" w:sz="4" w:space="0"/>
              <w:left w:val="single" w:color="auto" w:sz="4" w:space="0"/>
              <w:bottom w:val="single" w:color="auto" w:sz="4" w:space="0"/>
              <w:right w:val="single" w:color="auto" w:sz="4" w:space="0"/>
            </w:tcBorders>
            <w:noWrap/>
            <w:vAlign w:val="top"/>
          </w:tcPr>
          <w:p w14:paraId="5C08E9CB">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2355" w:type="dxa"/>
            <w:tcBorders>
              <w:top w:val="single" w:color="000000" w:sz="4" w:space="0"/>
              <w:left w:val="single" w:color="auto" w:sz="4" w:space="0"/>
              <w:bottom w:val="single" w:color="000000" w:sz="4" w:space="0"/>
              <w:right w:val="single" w:color="000000" w:sz="4" w:space="0"/>
            </w:tcBorders>
            <w:noWrap/>
            <w:vAlign w:val="top"/>
          </w:tcPr>
          <w:p w14:paraId="25AD670F">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驻场人员服务</w:t>
            </w:r>
          </w:p>
        </w:tc>
        <w:tc>
          <w:tcPr>
            <w:tcW w:w="1512" w:type="dxa"/>
            <w:tcBorders>
              <w:top w:val="single" w:color="000000" w:sz="4" w:space="0"/>
              <w:left w:val="single" w:color="000000" w:sz="4" w:space="0"/>
              <w:bottom w:val="single" w:color="000000" w:sz="4" w:space="0"/>
              <w:right w:val="single" w:color="000000" w:sz="4" w:space="0"/>
            </w:tcBorders>
            <w:noWrap/>
            <w:vAlign w:val="top"/>
          </w:tcPr>
          <w:p w14:paraId="3CF0ED9C">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项</w:t>
            </w:r>
          </w:p>
        </w:tc>
        <w:tc>
          <w:tcPr>
            <w:tcW w:w="675" w:type="dxa"/>
            <w:tcBorders>
              <w:top w:val="single" w:color="000000" w:sz="4" w:space="0"/>
              <w:left w:val="single" w:color="000000" w:sz="4" w:space="0"/>
              <w:bottom w:val="single" w:color="000000" w:sz="4" w:space="0"/>
              <w:right w:val="single" w:color="000000" w:sz="4" w:space="0"/>
            </w:tcBorders>
            <w:noWrap/>
            <w:vAlign w:val="top"/>
          </w:tcPr>
          <w:p w14:paraId="1BB037C1">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989" w:type="dxa"/>
            <w:tcBorders>
              <w:top w:val="single" w:color="000000" w:sz="4" w:space="0"/>
              <w:left w:val="single" w:color="000000" w:sz="4" w:space="0"/>
              <w:bottom w:val="single" w:color="000000" w:sz="4" w:space="0"/>
              <w:right w:val="single" w:color="000000" w:sz="4" w:space="0"/>
            </w:tcBorders>
            <w:noWrap/>
            <w:vAlign w:val="top"/>
          </w:tcPr>
          <w:p w14:paraId="0E3E7DA7">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1561" w:type="dxa"/>
            <w:tcBorders>
              <w:top w:val="single" w:color="000000" w:sz="4" w:space="0"/>
              <w:left w:val="single" w:color="000000" w:sz="4" w:space="0"/>
              <w:bottom w:val="single" w:color="000000" w:sz="4" w:space="0"/>
              <w:right w:val="single" w:color="000000" w:sz="4" w:space="0"/>
            </w:tcBorders>
            <w:noWrap/>
            <w:vAlign w:val="top"/>
          </w:tcPr>
          <w:p w14:paraId="0081BD8D">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r>
      <w:tr w14:paraId="43499AB6">
        <w:tblPrEx>
          <w:tblCellMar>
            <w:top w:w="0" w:type="dxa"/>
            <w:left w:w="108" w:type="dxa"/>
            <w:bottom w:w="0" w:type="dxa"/>
            <w:right w:w="108" w:type="dxa"/>
          </w:tblCellMar>
        </w:tblPrEx>
        <w:trPr>
          <w:trHeight w:val="375" w:hRule="atLeast"/>
        </w:trPr>
        <w:tc>
          <w:tcPr>
            <w:tcW w:w="2058" w:type="dxa"/>
            <w:tcBorders>
              <w:top w:val="single" w:color="auto" w:sz="4" w:space="0"/>
              <w:left w:val="single" w:color="auto" w:sz="4" w:space="0"/>
              <w:bottom w:val="single" w:color="auto" w:sz="4" w:space="0"/>
              <w:right w:val="single" w:color="auto" w:sz="4" w:space="0"/>
            </w:tcBorders>
            <w:noWrap/>
            <w:vAlign w:val="top"/>
          </w:tcPr>
          <w:p w14:paraId="30EFB482">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终端安全管理系统</w:t>
            </w:r>
          </w:p>
        </w:tc>
        <w:tc>
          <w:tcPr>
            <w:tcW w:w="2355" w:type="dxa"/>
            <w:tcBorders>
              <w:top w:val="single" w:color="000000" w:sz="4" w:space="0"/>
              <w:left w:val="single" w:color="auto" w:sz="4" w:space="0"/>
              <w:bottom w:val="single" w:color="000000" w:sz="4" w:space="0"/>
              <w:right w:val="single" w:color="000000" w:sz="4" w:space="0"/>
            </w:tcBorders>
            <w:noWrap/>
            <w:vAlign w:val="top"/>
          </w:tcPr>
          <w:p w14:paraId="3F06083E">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终端安全管理系统</w:t>
            </w:r>
          </w:p>
        </w:tc>
        <w:tc>
          <w:tcPr>
            <w:tcW w:w="1512" w:type="dxa"/>
            <w:tcBorders>
              <w:top w:val="single" w:color="000000" w:sz="4" w:space="0"/>
              <w:left w:val="single" w:color="000000" w:sz="4" w:space="0"/>
              <w:bottom w:val="single" w:color="000000" w:sz="4" w:space="0"/>
              <w:right w:val="single" w:color="000000" w:sz="4" w:space="0"/>
            </w:tcBorders>
            <w:noWrap/>
            <w:vAlign w:val="top"/>
          </w:tcPr>
          <w:p w14:paraId="173AE0B5">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noWrap/>
            <w:vAlign w:val="top"/>
          </w:tcPr>
          <w:p w14:paraId="73C5B72E">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989" w:type="dxa"/>
            <w:tcBorders>
              <w:top w:val="single" w:color="000000" w:sz="4" w:space="0"/>
              <w:left w:val="single" w:color="000000" w:sz="4" w:space="0"/>
              <w:bottom w:val="single" w:color="000000" w:sz="4" w:space="0"/>
              <w:right w:val="single" w:color="000000" w:sz="4" w:space="0"/>
            </w:tcBorders>
            <w:noWrap/>
            <w:vAlign w:val="top"/>
          </w:tcPr>
          <w:p w14:paraId="2B6EF5AC">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1561" w:type="dxa"/>
            <w:tcBorders>
              <w:top w:val="single" w:color="000000" w:sz="4" w:space="0"/>
              <w:left w:val="single" w:color="000000" w:sz="4" w:space="0"/>
              <w:bottom w:val="single" w:color="000000" w:sz="4" w:space="0"/>
              <w:right w:val="single" w:color="000000" w:sz="4" w:space="0"/>
            </w:tcBorders>
            <w:noWrap/>
            <w:vAlign w:val="top"/>
          </w:tcPr>
          <w:p w14:paraId="101A193D">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r>
      <w:tr w14:paraId="259E930E">
        <w:tblPrEx>
          <w:tblCellMar>
            <w:top w:w="0" w:type="dxa"/>
            <w:left w:w="108" w:type="dxa"/>
            <w:bottom w:w="0" w:type="dxa"/>
            <w:right w:w="108" w:type="dxa"/>
          </w:tblCellMar>
        </w:tblPrEx>
        <w:trPr>
          <w:trHeight w:val="375" w:hRule="atLeast"/>
        </w:trPr>
        <w:tc>
          <w:tcPr>
            <w:tcW w:w="2058" w:type="dxa"/>
            <w:tcBorders>
              <w:top w:val="single" w:color="auto" w:sz="4" w:space="0"/>
              <w:left w:val="single" w:color="auto" w:sz="4" w:space="0"/>
              <w:bottom w:val="single" w:color="auto" w:sz="4" w:space="0"/>
              <w:right w:val="single" w:color="auto" w:sz="4" w:space="0"/>
            </w:tcBorders>
            <w:noWrap/>
            <w:vAlign w:val="top"/>
          </w:tcPr>
          <w:p w14:paraId="5DD1739A">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准入系统</w:t>
            </w:r>
          </w:p>
        </w:tc>
        <w:tc>
          <w:tcPr>
            <w:tcW w:w="2355" w:type="dxa"/>
            <w:tcBorders>
              <w:top w:val="single" w:color="000000" w:sz="4" w:space="0"/>
              <w:left w:val="single" w:color="auto" w:sz="4" w:space="0"/>
              <w:bottom w:val="single" w:color="000000" w:sz="4" w:space="0"/>
              <w:right w:val="single" w:color="000000" w:sz="4" w:space="0"/>
            </w:tcBorders>
            <w:noWrap/>
            <w:vAlign w:val="top"/>
          </w:tcPr>
          <w:p w14:paraId="3EFDA77B">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准入系统</w:t>
            </w:r>
          </w:p>
        </w:tc>
        <w:tc>
          <w:tcPr>
            <w:tcW w:w="1512" w:type="dxa"/>
            <w:tcBorders>
              <w:top w:val="single" w:color="000000" w:sz="4" w:space="0"/>
              <w:left w:val="single" w:color="000000" w:sz="4" w:space="0"/>
              <w:bottom w:val="single" w:color="000000" w:sz="4" w:space="0"/>
              <w:right w:val="single" w:color="000000" w:sz="4" w:space="0"/>
            </w:tcBorders>
            <w:noWrap/>
            <w:vAlign w:val="top"/>
          </w:tcPr>
          <w:p w14:paraId="2E09BE0C">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noWrap/>
            <w:vAlign w:val="top"/>
          </w:tcPr>
          <w:p w14:paraId="7CADA3F1">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989" w:type="dxa"/>
            <w:tcBorders>
              <w:top w:val="single" w:color="000000" w:sz="4" w:space="0"/>
              <w:left w:val="single" w:color="000000" w:sz="4" w:space="0"/>
              <w:bottom w:val="single" w:color="000000" w:sz="4" w:space="0"/>
              <w:right w:val="single" w:color="000000" w:sz="4" w:space="0"/>
            </w:tcBorders>
            <w:noWrap/>
            <w:vAlign w:val="top"/>
          </w:tcPr>
          <w:p w14:paraId="17E245BB">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1561" w:type="dxa"/>
            <w:tcBorders>
              <w:top w:val="single" w:color="000000" w:sz="4" w:space="0"/>
              <w:left w:val="single" w:color="000000" w:sz="4" w:space="0"/>
              <w:bottom w:val="single" w:color="000000" w:sz="4" w:space="0"/>
              <w:right w:val="single" w:color="000000" w:sz="4" w:space="0"/>
            </w:tcBorders>
            <w:noWrap/>
            <w:vAlign w:val="top"/>
          </w:tcPr>
          <w:p w14:paraId="06976C44">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r>
      <w:tr w14:paraId="507F5A91">
        <w:tblPrEx>
          <w:tblCellMar>
            <w:top w:w="0" w:type="dxa"/>
            <w:left w:w="108" w:type="dxa"/>
            <w:bottom w:w="0" w:type="dxa"/>
            <w:right w:w="108" w:type="dxa"/>
          </w:tblCellMar>
        </w:tblPrEx>
        <w:trPr>
          <w:trHeight w:val="375" w:hRule="atLeast"/>
        </w:trPr>
        <w:tc>
          <w:tcPr>
            <w:tcW w:w="2058" w:type="dxa"/>
            <w:tcBorders>
              <w:top w:val="single" w:color="auto" w:sz="4" w:space="0"/>
              <w:left w:val="single" w:color="auto" w:sz="4" w:space="0"/>
              <w:bottom w:val="single" w:color="auto" w:sz="4" w:space="0"/>
              <w:right w:val="single" w:color="auto" w:sz="4" w:space="0"/>
            </w:tcBorders>
            <w:noWrap/>
            <w:vAlign w:val="top"/>
          </w:tcPr>
          <w:p w14:paraId="2D51F4E0">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配套硬件</w:t>
            </w:r>
          </w:p>
        </w:tc>
        <w:tc>
          <w:tcPr>
            <w:tcW w:w="2355" w:type="dxa"/>
            <w:tcBorders>
              <w:top w:val="single" w:color="000000" w:sz="4" w:space="0"/>
              <w:left w:val="single" w:color="auto" w:sz="4" w:space="0"/>
              <w:bottom w:val="single" w:color="000000" w:sz="4" w:space="0"/>
              <w:right w:val="single" w:color="000000" w:sz="4" w:space="0"/>
            </w:tcBorders>
            <w:noWrap/>
            <w:vAlign w:val="top"/>
          </w:tcPr>
          <w:p w14:paraId="2EEFF506">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配套硬件</w:t>
            </w:r>
          </w:p>
        </w:tc>
        <w:tc>
          <w:tcPr>
            <w:tcW w:w="1512" w:type="dxa"/>
            <w:tcBorders>
              <w:top w:val="single" w:color="000000" w:sz="4" w:space="0"/>
              <w:left w:val="single" w:color="000000" w:sz="4" w:space="0"/>
              <w:bottom w:val="single" w:color="000000" w:sz="4" w:space="0"/>
              <w:right w:val="single" w:color="000000" w:sz="4" w:space="0"/>
            </w:tcBorders>
            <w:noWrap/>
            <w:vAlign w:val="top"/>
          </w:tcPr>
          <w:p w14:paraId="22BD3662">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项</w:t>
            </w:r>
          </w:p>
        </w:tc>
        <w:tc>
          <w:tcPr>
            <w:tcW w:w="675" w:type="dxa"/>
            <w:tcBorders>
              <w:top w:val="single" w:color="000000" w:sz="4" w:space="0"/>
              <w:left w:val="single" w:color="000000" w:sz="4" w:space="0"/>
              <w:bottom w:val="single" w:color="000000" w:sz="4" w:space="0"/>
              <w:right w:val="single" w:color="000000" w:sz="4" w:space="0"/>
            </w:tcBorders>
            <w:noWrap/>
            <w:vAlign w:val="top"/>
          </w:tcPr>
          <w:p w14:paraId="7C706876">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989" w:type="dxa"/>
            <w:tcBorders>
              <w:top w:val="single" w:color="000000" w:sz="4" w:space="0"/>
              <w:left w:val="single" w:color="000000" w:sz="4" w:space="0"/>
              <w:bottom w:val="single" w:color="000000" w:sz="4" w:space="0"/>
              <w:right w:val="single" w:color="000000" w:sz="4" w:space="0"/>
            </w:tcBorders>
            <w:noWrap/>
            <w:vAlign w:val="top"/>
          </w:tcPr>
          <w:p w14:paraId="5FB4D210">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1561" w:type="dxa"/>
            <w:tcBorders>
              <w:top w:val="single" w:color="000000" w:sz="4" w:space="0"/>
              <w:left w:val="single" w:color="000000" w:sz="4" w:space="0"/>
              <w:bottom w:val="single" w:color="000000" w:sz="4" w:space="0"/>
              <w:right w:val="single" w:color="000000" w:sz="4" w:space="0"/>
            </w:tcBorders>
            <w:noWrap/>
            <w:vAlign w:val="top"/>
          </w:tcPr>
          <w:p w14:paraId="3006AE4A">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r>
      <w:tr w14:paraId="5F7A8A12">
        <w:tblPrEx>
          <w:tblCellMar>
            <w:top w:w="0" w:type="dxa"/>
            <w:left w:w="108" w:type="dxa"/>
            <w:bottom w:w="0" w:type="dxa"/>
            <w:right w:w="108" w:type="dxa"/>
          </w:tblCellMar>
        </w:tblPrEx>
        <w:trPr>
          <w:trHeight w:val="375" w:hRule="atLeast"/>
        </w:trPr>
        <w:tc>
          <w:tcPr>
            <w:tcW w:w="2058" w:type="dxa"/>
            <w:tcBorders>
              <w:top w:val="single" w:color="auto" w:sz="4" w:space="0"/>
              <w:left w:val="single" w:color="auto" w:sz="4" w:space="0"/>
              <w:bottom w:val="single" w:color="auto" w:sz="4" w:space="0"/>
              <w:right w:val="single" w:color="auto" w:sz="4" w:space="0"/>
            </w:tcBorders>
            <w:noWrap/>
            <w:vAlign w:val="top"/>
          </w:tcPr>
          <w:p w14:paraId="7C405A8C">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等保测评服务</w:t>
            </w:r>
          </w:p>
        </w:tc>
        <w:tc>
          <w:tcPr>
            <w:tcW w:w="2355" w:type="dxa"/>
            <w:tcBorders>
              <w:top w:val="single" w:color="000000" w:sz="4" w:space="0"/>
              <w:left w:val="single" w:color="auto" w:sz="4" w:space="0"/>
              <w:bottom w:val="single" w:color="000000" w:sz="4" w:space="0"/>
              <w:right w:val="single" w:color="000000" w:sz="4" w:space="0"/>
            </w:tcBorders>
            <w:noWrap/>
            <w:vAlign w:val="top"/>
          </w:tcPr>
          <w:p w14:paraId="0951C4BB">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二级等保测评</w:t>
            </w:r>
          </w:p>
        </w:tc>
        <w:tc>
          <w:tcPr>
            <w:tcW w:w="1512" w:type="dxa"/>
            <w:tcBorders>
              <w:top w:val="single" w:color="000000" w:sz="4" w:space="0"/>
              <w:left w:val="single" w:color="000000" w:sz="4" w:space="0"/>
              <w:bottom w:val="single" w:color="000000" w:sz="4" w:space="0"/>
              <w:right w:val="single" w:color="000000" w:sz="4" w:space="0"/>
            </w:tcBorders>
            <w:noWrap/>
            <w:vAlign w:val="top"/>
          </w:tcPr>
          <w:p w14:paraId="081C6091">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系统</w:t>
            </w:r>
          </w:p>
        </w:tc>
        <w:tc>
          <w:tcPr>
            <w:tcW w:w="675" w:type="dxa"/>
            <w:tcBorders>
              <w:top w:val="single" w:color="000000" w:sz="4" w:space="0"/>
              <w:left w:val="single" w:color="000000" w:sz="4" w:space="0"/>
              <w:bottom w:val="single" w:color="000000" w:sz="4" w:space="0"/>
              <w:right w:val="single" w:color="000000" w:sz="4" w:space="0"/>
            </w:tcBorders>
            <w:noWrap/>
            <w:vAlign w:val="top"/>
          </w:tcPr>
          <w:p w14:paraId="74D237D8">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t>1</w:t>
            </w:r>
          </w:p>
        </w:tc>
        <w:tc>
          <w:tcPr>
            <w:tcW w:w="989" w:type="dxa"/>
            <w:tcBorders>
              <w:top w:val="single" w:color="000000" w:sz="4" w:space="0"/>
              <w:left w:val="single" w:color="000000" w:sz="4" w:space="0"/>
              <w:bottom w:val="single" w:color="000000" w:sz="4" w:space="0"/>
              <w:right w:val="single" w:color="000000" w:sz="4" w:space="0"/>
            </w:tcBorders>
            <w:noWrap/>
            <w:vAlign w:val="top"/>
          </w:tcPr>
          <w:p w14:paraId="15DBEE8C">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c>
          <w:tcPr>
            <w:tcW w:w="1561" w:type="dxa"/>
            <w:tcBorders>
              <w:top w:val="single" w:color="000000" w:sz="4" w:space="0"/>
              <w:left w:val="single" w:color="000000" w:sz="4" w:space="0"/>
              <w:bottom w:val="single" w:color="000000" w:sz="4" w:space="0"/>
              <w:right w:val="single" w:color="000000" w:sz="4" w:space="0"/>
            </w:tcBorders>
            <w:noWrap/>
            <w:vAlign w:val="top"/>
          </w:tcPr>
          <w:p w14:paraId="009AE5B5">
            <w:pPr>
              <w:keepNext w:val="0"/>
              <w:keepLines w:val="0"/>
              <w:pageBreakBefore w:val="0"/>
              <w:widowControl/>
              <w:kinsoku/>
              <w:wordWrap/>
              <w:overflowPunct/>
              <w:topLinePunct w:val="0"/>
              <w:bidi w:val="0"/>
              <w:snapToGrid/>
              <w:spacing w:line="560" w:lineRule="exact"/>
              <w:textAlignment w:val="center"/>
              <w:rPr>
                <w:rFonts w:hint="default" w:ascii="Times New Roman" w:hAnsi="Times New Roman" w:eastAsia="仿宋_GB2312" w:cs="Times New Roman"/>
                <w:kern w:val="0"/>
                <w:sz w:val="32"/>
                <w:szCs w:val="32"/>
                <w:lang w:val="en-US" w:eastAsia="zh-CN" w:bidi="ar"/>
              </w:rPr>
            </w:pPr>
          </w:p>
        </w:tc>
      </w:tr>
      <w:tr w14:paraId="7BD31E7C">
        <w:tblPrEx>
          <w:tblCellMar>
            <w:top w:w="0" w:type="dxa"/>
            <w:left w:w="108" w:type="dxa"/>
            <w:bottom w:w="0" w:type="dxa"/>
            <w:right w:w="108" w:type="dxa"/>
          </w:tblCellMar>
        </w:tblPrEx>
        <w:trPr>
          <w:trHeight w:val="375" w:hRule="atLeast"/>
        </w:trPr>
        <w:tc>
          <w:tcPr>
            <w:tcW w:w="6600" w:type="dxa"/>
            <w:gridSpan w:val="4"/>
            <w:tcBorders>
              <w:top w:val="single" w:color="000000" w:sz="4" w:space="0"/>
              <w:left w:val="single" w:color="000000" w:sz="4" w:space="0"/>
              <w:bottom w:val="single" w:color="000000" w:sz="4" w:space="0"/>
              <w:right w:val="single" w:color="000000" w:sz="4" w:space="0"/>
            </w:tcBorders>
            <w:noWrap/>
            <w:vAlign w:val="top"/>
          </w:tcPr>
          <w:p w14:paraId="46D6327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总价：</w:t>
            </w:r>
          </w:p>
        </w:tc>
        <w:tc>
          <w:tcPr>
            <w:tcW w:w="2550" w:type="dxa"/>
            <w:gridSpan w:val="2"/>
            <w:tcBorders>
              <w:top w:val="single" w:color="000000" w:sz="4" w:space="0"/>
              <w:left w:val="single" w:color="000000" w:sz="4" w:space="0"/>
              <w:bottom w:val="single" w:color="000000" w:sz="4" w:space="0"/>
              <w:right w:val="single" w:color="000000" w:sz="4" w:space="0"/>
            </w:tcBorders>
            <w:noWrap/>
            <w:vAlign w:val="top"/>
          </w:tcPr>
          <w:p w14:paraId="257F9E1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p>
        </w:tc>
      </w:tr>
      <w:tr w14:paraId="267B765F">
        <w:tblPrEx>
          <w:tblCellMar>
            <w:top w:w="0" w:type="dxa"/>
            <w:left w:w="108" w:type="dxa"/>
            <w:bottom w:w="0" w:type="dxa"/>
            <w:right w:w="108" w:type="dxa"/>
          </w:tblCellMar>
        </w:tblPrEx>
        <w:trPr>
          <w:trHeight w:val="920" w:hRule="atLeast"/>
        </w:trPr>
        <w:tc>
          <w:tcPr>
            <w:tcW w:w="9150" w:type="dxa"/>
            <w:gridSpan w:val="6"/>
            <w:tcBorders>
              <w:top w:val="single" w:color="000000" w:sz="4" w:space="0"/>
              <w:left w:val="single" w:color="000000" w:sz="4" w:space="0"/>
              <w:bottom w:val="single" w:color="000000" w:sz="4" w:space="0"/>
              <w:right w:val="single" w:color="000000" w:sz="4" w:space="0"/>
            </w:tcBorders>
            <w:vAlign w:val="center"/>
          </w:tcPr>
          <w:p w14:paraId="359308E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说明：为我院整体安全负责，对接所有安全事项，包括院内部门、等保测评机构、业务系统厂商等。</w:t>
            </w:r>
          </w:p>
        </w:tc>
      </w:tr>
    </w:tbl>
    <w:p w14:paraId="275C7A86">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hint="default" w:ascii="Times New Roman" w:hAnsi="Times New Roman" w:eastAsia="仿宋_GB2312" w:cs="Times New Roman"/>
          <w:color w:val="auto"/>
          <w:sz w:val="30"/>
          <w:szCs w:val="30"/>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FA536">
    <w:pPr>
      <w:pStyle w:val="6"/>
      <w:rPr>
        <w:rFonts w:hint="eastAsia" w:ascii="宋体" w:hAnsi="宋体" w:eastAsia="宋体" w:cs="宋体"/>
        <w:sz w:val="28"/>
        <w:szCs w:val="28"/>
      </w:rPr>
    </w:pPr>
    <w:r>
      <w:rPr>
        <w:rFonts w:hint="eastAsia" w:ascii="宋体" w:hAnsi="宋体" w:eastAsia="宋体" w:cs="宋体"/>
        <w:sz w:val="28"/>
        <w:szCs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BEFB0">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CBEFB0">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9033F4"/>
    <w:rsid w:val="000279A0"/>
    <w:rsid w:val="0005334B"/>
    <w:rsid w:val="00084E05"/>
    <w:rsid w:val="000A4135"/>
    <w:rsid w:val="000A5E8F"/>
    <w:rsid w:val="000A7E7B"/>
    <w:rsid w:val="0010272D"/>
    <w:rsid w:val="00122165"/>
    <w:rsid w:val="0014655C"/>
    <w:rsid w:val="00173762"/>
    <w:rsid w:val="00192375"/>
    <w:rsid w:val="00224E2B"/>
    <w:rsid w:val="002450C9"/>
    <w:rsid w:val="00260080"/>
    <w:rsid w:val="00260766"/>
    <w:rsid w:val="002932A5"/>
    <w:rsid w:val="002A0809"/>
    <w:rsid w:val="002B7AE5"/>
    <w:rsid w:val="003957A8"/>
    <w:rsid w:val="003B1FEF"/>
    <w:rsid w:val="003F028A"/>
    <w:rsid w:val="00400422"/>
    <w:rsid w:val="00490B57"/>
    <w:rsid w:val="004E2119"/>
    <w:rsid w:val="004F1BBF"/>
    <w:rsid w:val="0053489B"/>
    <w:rsid w:val="00541DB6"/>
    <w:rsid w:val="00543F9D"/>
    <w:rsid w:val="00550F5E"/>
    <w:rsid w:val="00585AAD"/>
    <w:rsid w:val="00597436"/>
    <w:rsid w:val="005B091E"/>
    <w:rsid w:val="005D2AB5"/>
    <w:rsid w:val="005E153A"/>
    <w:rsid w:val="0060581C"/>
    <w:rsid w:val="0061283F"/>
    <w:rsid w:val="00614398"/>
    <w:rsid w:val="006F561A"/>
    <w:rsid w:val="00752A71"/>
    <w:rsid w:val="007649A4"/>
    <w:rsid w:val="008174D4"/>
    <w:rsid w:val="008311E7"/>
    <w:rsid w:val="00863A6E"/>
    <w:rsid w:val="00874B3D"/>
    <w:rsid w:val="008D7AA8"/>
    <w:rsid w:val="0095227C"/>
    <w:rsid w:val="00A444DB"/>
    <w:rsid w:val="00AA4E69"/>
    <w:rsid w:val="00AD5277"/>
    <w:rsid w:val="00B17CDF"/>
    <w:rsid w:val="00B7261D"/>
    <w:rsid w:val="00BE0ECD"/>
    <w:rsid w:val="00D25180"/>
    <w:rsid w:val="00D27CF6"/>
    <w:rsid w:val="00D64296"/>
    <w:rsid w:val="00ED5D8D"/>
    <w:rsid w:val="00F361CB"/>
    <w:rsid w:val="00F60212"/>
    <w:rsid w:val="00FC01F3"/>
    <w:rsid w:val="01C81F50"/>
    <w:rsid w:val="029D33DC"/>
    <w:rsid w:val="02B926FC"/>
    <w:rsid w:val="035D4597"/>
    <w:rsid w:val="036F6B27"/>
    <w:rsid w:val="039B3DC0"/>
    <w:rsid w:val="03F82FC0"/>
    <w:rsid w:val="040C25C7"/>
    <w:rsid w:val="04ED23F9"/>
    <w:rsid w:val="059E7B97"/>
    <w:rsid w:val="06B54F3C"/>
    <w:rsid w:val="06E710CA"/>
    <w:rsid w:val="08DD4532"/>
    <w:rsid w:val="08F301FA"/>
    <w:rsid w:val="09ED4C49"/>
    <w:rsid w:val="0A171CC6"/>
    <w:rsid w:val="0A187F18"/>
    <w:rsid w:val="0D134413"/>
    <w:rsid w:val="0D53546C"/>
    <w:rsid w:val="0E2C21E4"/>
    <w:rsid w:val="0E387F7F"/>
    <w:rsid w:val="0E407A3D"/>
    <w:rsid w:val="0E627986"/>
    <w:rsid w:val="0F711E78"/>
    <w:rsid w:val="114F7F97"/>
    <w:rsid w:val="11DF2F65"/>
    <w:rsid w:val="11E42DD6"/>
    <w:rsid w:val="1308765F"/>
    <w:rsid w:val="13D33102"/>
    <w:rsid w:val="145A2EDB"/>
    <w:rsid w:val="14B44CE1"/>
    <w:rsid w:val="17C74069"/>
    <w:rsid w:val="17F0409F"/>
    <w:rsid w:val="18F57676"/>
    <w:rsid w:val="18FA03AD"/>
    <w:rsid w:val="1A9759C4"/>
    <w:rsid w:val="1AA9696A"/>
    <w:rsid w:val="1B5C578B"/>
    <w:rsid w:val="1C9378D2"/>
    <w:rsid w:val="1CF953B1"/>
    <w:rsid w:val="1F3D3B25"/>
    <w:rsid w:val="1F680BA2"/>
    <w:rsid w:val="1FD40B49"/>
    <w:rsid w:val="1FE65F6B"/>
    <w:rsid w:val="20606450"/>
    <w:rsid w:val="228026A7"/>
    <w:rsid w:val="23167D98"/>
    <w:rsid w:val="255F0B60"/>
    <w:rsid w:val="257D111F"/>
    <w:rsid w:val="25910727"/>
    <w:rsid w:val="26303FE7"/>
    <w:rsid w:val="26630315"/>
    <w:rsid w:val="26992ED5"/>
    <w:rsid w:val="26CB1A16"/>
    <w:rsid w:val="2AB0127B"/>
    <w:rsid w:val="2B69017C"/>
    <w:rsid w:val="2C7A06EF"/>
    <w:rsid w:val="2CA12159"/>
    <w:rsid w:val="2DA70983"/>
    <w:rsid w:val="30BC6FA0"/>
    <w:rsid w:val="31134876"/>
    <w:rsid w:val="320D7387"/>
    <w:rsid w:val="32C75788"/>
    <w:rsid w:val="332D5F33"/>
    <w:rsid w:val="335A65FC"/>
    <w:rsid w:val="347E631A"/>
    <w:rsid w:val="35845BB2"/>
    <w:rsid w:val="36D44917"/>
    <w:rsid w:val="37225683"/>
    <w:rsid w:val="37D3697D"/>
    <w:rsid w:val="386A108F"/>
    <w:rsid w:val="39F50E2C"/>
    <w:rsid w:val="3A0B68A2"/>
    <w:rsid w:val="3C505ED9"/>
    <w:rsid w:val="3CF11D7F"/>
    <w:rsid w:val="3DC47494"/>
    <w:rsid w:val="3EFB0C93"/>
    <w:rsid w:val="3F5B5BD6"/>
    <w:rsid w:val="3F7D5B4C"/>
    <w:rsid w:val="40BB6C9A"/>
    <w:rsid w:val="425132C0"/>
    <w:rsid w:val="42D00689"/>
    <w:rsid w:val="42E16D0D"/>
    <w:rsid w:val="43D83012"/>
    <w:rsid w:val="43DD4E0B"/>
    <w:rsid w:val="4517259F"/>
    <w:rsid w:val="464E25B6"/>
    <w:rsid w:val="46CF1F03"/>
    <w:rsid w:val="46ED7A5B"/>
    <w:rsid w:val="485338EE"/>
    <w:rsid w:val="48A405ED"/>
    <w:rsid w:val="48C106B6"/>
    <w:rsid w:val="48E94252"/>
    <w:rsid w:val="49816239"/>
    <w:rsid w:val="4AD36F68"/>
    <w:rsid w:val="4B91691B"/>
    <w:rsid w:val="4CA706AC"/>
    <w:rsid w:val="4D0553D3"/>
    <w:rsid w:val="4DB12905"/>
    <w:rsid w:val="4EB12E7B"/>
    <w:rsid w:val="4EE334F2"/>
    <w:rsid w:val="50096F88"/>
    <w:rsid w:val="50281B04"/>
    <w:rsid w:val="50680152"/>
    <w:rsid w:val="515626A1"/>
    <w:rsid w:val="5385101B"/>
    <w:rsid w:val="53A019B1"/>
    <w:rsid w:val="54C87412"/>
    <w:rsid w:val="54DA0EF3"/>
    <w:rsid w:val="54DE6C35"/>
    <w:rsid w:val="55257795"/>
    <w:rsid w:val="55AE4859"/>
    <w:rsid w:val="57376AD1"/>
    <w:rsid w:val="595A2602"/>
    <w:rsid w:val="59A26483"/>
    <w:rsid w:val="59CA59DA"/>
    <w:rsid w:val="5B213377"/>
    <w:rsid w:val="5B590DC3"/>
    <w:rsid w:val="5B6F6839"/>
    <w:rsid w:val="5CE177AF"/>
    <w:rsid w:val="5CF8285E"/>
    <w:rsid w:val="5D9033F4"/>
    <w:rsid w:val="5DB77EBF"/>
    <w:rsid w:val="5E113BD7"/>
    <w:rsid w:val="5EBA1881"/>
    <w:rsid w:val="5FAA42E4"/>
    <w:rsid w:val="602816AC"/>
    <w:rsid w:val="60B62814"/>
    <w:rsid w:val="61F45CEA"/>
    <w:rsid w:val="624125B1"/>
    <w:rsid w:val="63F7561D"/>
    <w:rsid w:val="64487C27"/>
    <w:rsid w:val="649D4417"/>
    <w:rsid w:val="657D7DA4"/>
    <w:rsid w:val="673426E5"/>
    <w:rsid w:val="67F325A0"/>
    <w:rsid w:val="68FE2FAA"/>
    <w:rsid w:val="69230C63"/>
    <w:rsid w:val="6A152CA1"/>
    <w:rsid w:val="6A19292C"/>
    <w:rsid w:val="6C783E95"/>
    <w:rsid w:val="6D6219AB"/>
    <w:rsid w:val="6D885538"/>
    <w:rsid w:val="6DC26C9C"/>
    <w:rsid w:val="6E290AC9"/>
    <w:rsid w:val="6ED0363B"/>
    <w:rsid w:val="704E2A69"/>
    <w:rsid w:val="73B61051"/>
    <w:rsid w:val="73BF19FA"/>
    <w:rsid w:val="75E55E1A"/>
    <w:rsid w:val="76194CAE"/>
    <w:rsid w:val="76ED69CE"/>
    <w:rsid w:val="7B196948"/>
    <w:rsid w:val="7BB045D8"/>
    <w:rsid w:val="7CE02C9B"/>
    <w:rsid w:val="7DB61C4E"/>
    <w:rsid w:val="7E576F8D"/>
    <w:rsid w:val="7FA22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eastAsia="仿宋_GB2312" w:asciiTheme="minorHAnsi" w:hAnsiTheme="minorHAnsi" w:cstheme="minorBidi"/>
      <w:kern w:val="2"/>
      <w:sz w:val="28"/>
      <w:szCs w:val="24"/>
      <w:lang w:val="en-US" w:eastAsia="zh-CN" w:bidi="ar-SA"/>
    </w:rPr>
  </w:style>
  <w:style w:type="paragraph" w:styleId="2">
    <w:name w:val="heading 1"/>
    <w:basedOn w:val="1"/>
    <w:next w:val="1"/>
    <w:qFormat/>
    <w:uiPriority w:val="0"/>
    <w:pPr>
      <w:keepNext/>
      <w:keepLines/>
      <w:spacing w:before="20" w:after="40"/>
      <w:ind w:left="420" w:leftChars="200"/>
      <w:outlineLvl w:val="0"/>
    </w:pPr>
    <w:rPr>
      <w:b/>
      <w:kern w:val="44"/>
    </w:rPr>
  </w:style>
  <w:style w:type="paragraph" w:styleId="3">
    <w:name w:val="heading 2"/>
    <w:basedOn w:val="1"/>
    <w:next w:val="1"/>
    <w:unhideWhenUsed/>
    <w:qFormat/>
    <w:uiPriority w:val="0"/>
    <w:pPr>
      <w:keepNext/>
      <w:keepLines/>
      <w:spacing w:after="20" w:line="413" w:lineRule="auto"/>
      <w:ind w:left="420" w:leftChars="200"/>
      <w:outlineLvl w:val="1"/>
    </w:pPr>
    <w:rPr>
      <w:rFonts w:ascii="Arial" w:hAnsi="Arial"/>
    </w:rPr>
  </w:style>
  <w:style w:type="paragraph" w:styleId="4">
    <w:name w:val="heading 3"/>
    <w:basedOn w:val="1"/>
    <w:next w:val="1"/>
    <w:link w:val="13"/>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style>
  <w:style w:type="paragraph" w:styleId="6">
    <w:name w:val="footer"/>
    <w:basedOn w:val="1"/>
    <w:link w:val="15"/>
    <w:qFormat/>
    <w:uiPriority w:val="0"/>
    <w:pPr>
      <w:tabs>
        <w:tab w:val="center" w:pos="4153"/>
        <w:tab w:val="right" w:pos="8306"/>
      </w:tabs>
      <w:snapToGrid w:val="0"/>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 首行缩进:  2 字符"/>
    <w:basedOn w:val="1"/>
    <w:qFormat/>
    <w:uiPriority w:val="0"/>
    <w:pPr>
      <w:spacing w:before="120" w:beforeLines="50" w:after="120" w:afterLines="50" w:line="480" w:lineRule="exact"/>
      <w:ind w:firstLine="560" w:firstLineChars="200"/>
    </w:pPr>
    <w:rPr>
      <w:rFonts w:ascii="Times New Roman" w:hAnsi="Times New Roman" w:eastAsia="仿宋" w:cs="Times New Roman"/>
      <w:color w:val="FF0000"/>
      <w:szCs w:val="20"/>
      <w:lang w:val="zh-CN"/>
    </w:rPr>
  </w:style>
  <w:style w:type="paragraph" w:styleId="12">
    <w:name w:val="List Paragraph"/>
    <w:basedOn w:val="1"/>
    <w:qFormat/>
    <w:uiPriority w:val="99"/>
    <w:pPr>
      <w:ind w:firstLine="420" w:firstLineChars="200"/>
    </w:pPr>
  </w:style>
  <w:style w:type="character" w:customStyle="1" w:styleId="13">
    <w:name w:val="标题 3 字符"/>
    <w:basedOn w:val="10"/>
    <w:link w:val="4"/>
    <w:qFormat/>
    <w:uiPriority w:val="0"/>
    <w:rPr>
      <w:rFonts w:eastAsia="仿宋_GB2312" w:asciiTheme="minorHAnsi" w:hAnsiTheme="minorHAnsi" w:cstheme="minorBidi"/>
      <w:b/>
      <w:bCs/>
      <w:kern w:val="2"/>
      <w:sz w:val="32"/>
      <w:szCs w:val="32"/>
    </w:rPr>
  </w:style>
  <w:style w:type="character" w:customStyle="1" w:styleId="14">
    <w:name w:val="页眉 字符"/>
    <w:basedOn w:val="10"/>
    <w:link w:val="7"/>
    <w:qFormat/>
    <w:uiPriority w:val="0"/>
    <w:rPr>
      <w:rFonts w:eastAsia="仿宋_GB2312" w:asciiTheme="minorHAnsi" w:hAnsiTheme="minorHAnsi" w:cstheme="minorBidi"/>
      <w:kern w:val="2"/>
      <w:sz w:val="18"/>
      <w:szCs w:val="18"/>
    </w:rPr>
  </w:style>
  <w:style w:type="character" w:customStyle="1" w:styleId="15">
    <w:name w:val="页脚 字符"/>
    <w:basedOn w:val="10"/>
    <w:link w:val="6"/>
    <w:qFormat/>
    <w:uiPriority w:val="0"/>
    <w:rPr>
      <w:rFonts w:eastAsia="仿宋_GB2312"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25cc978c-e548-4bf2-a128-72265e01cc0a</errorID>
      <errorWord>，</errorWord>
      <group>L1_Word</group>
      <groupName>字词问题</groupName>
      <ability>L2_Typo</ability>
      <abilityName>字词错误</abilityName>
      <candidateList>
        <item>，以</item>
      </candidateList>
      <explain/>
      <paraID> A41DC38</paraID>
      <start>31</start>
      <end>32</end>
      <status>unmodified</status>
      <modifiedWord/>
      <trackRevisions>false</trackRevisions>
    </reviewItem>
    <reviewItem>
      <errorID>04a3f734-bc8b-41f3-88e0-0ebf0b253c81</errorID>
      <errorWord>及</errorWord>
      <group>L1_Word</group>
      <groupName>字词问题</groupName>
      <ability>L2_Typo</ability>
      <abilityName>字词错误</abilityName>
      <candidateList>
        <item>并</item>
      </candidateList>
      <explain/>
      <paraID> A41DC38</paraID>
      <start>32</start>
      <end>33</end>
      <status>unmodified</status>
      <modifiedWord/>
      <trackRevisions>false</trackRevisions>
    </reviewItem>
    <reviewItem>
      <errorID>2cf678d0-4380-4e1f-be55-572a241acbba</errorID>
      <errorWord>其它</errorWord>
      <group>L1_Word</group>
      <groupName>字词问题</groupName>
      <ability>L2_Typo</ability>
      <abilityName>字词错误</abilityName>
      <candidateList>
        <item>其他</item>
      </candidateList>
      <explain/>
      <paraID> A41DC38</paraID>
      <start>41</start>
      <end>43</end>
      <status>unmodified</status>
      <modifiedWord/>
      <trackRevisions>false</trackRevisions>
    </reviewItem>
    <reviewItem>
      <errorID>2e32cdcf-aca7-485d-b56b-e4ae674793c7</errorID>
      <errorWord>确保</errorWord>
      <group>L1_Punc</group>
      <groupName>标点问题</groupName>
      <ability>L2_Punc_CN</ability>
      <abilityName>标点符号问题</abilityName>
      <candidateList>
        <item>，确保</item>
      </candidateList>
      <explain/>
      <paraID> 2248C0D</paraID>
      <start>24</start>
      <end>26</end>
      <status>unmodified</status>
      <modifiedWord/>
      <trackRevisions>false</trackRevisions>
    </reviewItem>
    <reviewItem>
      <errorID>660ef4bc-b307-416e-95df-c82ee89fa9fc</errorID>
      <errorWord>全面</errorWord>
      <group>L1_Punc</group>
      <groupName>标点问题</groupName>
      <ability>L2_Punc_CN</ability>
      <abilityName>标点符号问题</abilityName>
      <candidateList>
        <item>、全面</item>
      </candidateList>
      <explain/>
      <paraID> 2248C0D</paraID>
      <start>36</start>
      <end>38</end>
      <status>unmodified</status>
      <modifiedWord/>
      <trackRevisions>false</trackRevisions>
    </reviewItem>
    <reviewItem>
      <errorID>05f36fd1-590a-4cc6-98b1-4a02b5045238</errorID>
      <errorWord>、等</errorWord>
      <group>L1_Punc</group>
      <groupName>标点问题</groupName>
      <ability>L2_Punc_CN</ability>
      <abilityName>标点符号问题</abilityName>
      <candidateList>
        <item>等</item>
      </candidateList>
      <explain>“及”“和”“等”连词前不宜使用顿号，建议删除（或使用逗号）。</explain>
      <paraID>3A8BAB07</paraID>
      <start>27</start>
      <end>29</end>
      <status>unmodified</status>
      <modifiedWord/>
      <trackRevisions>false</trackRevisions>
    </reviewItem>
    <reviewItem>
      <errorID>ec8a79ce-2a7e-45e9-bb9d-6a2ef1d359bd</errorID>
      <errorWord>须</errorWord>
      <group>L1_Word</group>
      <groupName>字词问题</groupName>
      <ability>L2_Typo</ability>
      <abilityName>字词错误</abilityName>
      <candidateList>
        <item>需</item>
      </candidateList>
      <explain/>
      <paraID>4E72A4FD</paraID>
      <start>20</start>
      <end>21</end>
      <status>unmodified</status>
      <modifiedWord/>
      <trackRevisions>false</trackRevisions>
    </reviewItem>
    <reviewItem>
      <errorID>bce58c2d-32af-4001-bdef-2fc7363f6963</errorID>
      <errorWord>供商</errorWord>
      <group>L1_Word</group>
      <groupName>字词问题</groupName>
      <ability>L2_Typo</ability>
      <abilityName>字词错误</abilityName>
      <candidateList>
        <item>供应商</item>
      </candidateList>
      <explain/>
      <paraID>4E72A4FD</paraID>
      <start>34</start>
      <end>36</end>
      <status>unmodified</status>
      <modifiedWord/>
      <trackRevisions>false</trackRevisions>
    </reviewItem>
    <reviewItem>
      <errorID>c2403dec-617f-4ffe-8fe5-051bbd707e73</errorID>
      <errorWord>。</errorWord>
      <group>L1_Grammar</group>
      <groupName>语法问题</groupName>
      <ability>L2_Grammar</ability>
      <abilityName>语法错误</abilityName>
      <candidateList>
        <item>需求。</item>
      </candidateList>
      <explain/>
      <paraID>1FE4CCEB</paraID>
      <start>64</start>
      <end>65</end>
      <status>unmodified</status>
      <modifiedWord/>
      <trackRevisions>false</trackRevisions>
    </reviewItem>
    <reviewItem>
      <errorID>6bf9fcda-7d87-4ef5-b9e2-14de205fe861</errorID>
      <errorWord>中标人</errorWord>
      <group>L1_Other</group>
      <groupName>其他问题</groupName>
      <ability>L2_Consistency</ability>
      <abilityName>一致性检查</abilityName>
      <candidateList>
        <item>中标方</item>
      </candidateList>
      <explain>实体一致性，原文主体统一使用中标方，此处表述不一致</explain>
      <paraID> 547B2B4</paraID>
      <start>59</start>
      <end>62</end>
      <status>unmodified</status>
      <modifiedWord/>
      <trackRevisions>false</trackRevisions>
    </reviewItem>
    <reviewItem>
      <errorID>f8d22e3b-c6d3-4c8f-8562-a48e18c28346</errorID>
      <errorWord>(</errorWord>
      <group>L1_Format</group>
      <groupName>格式问题</groupName>
      <ability>L2_HalfPunc_CN</ability>
      <abilityName>全半角问题</abilityName>
      <candidateList>
        <item>（</item>
      </candidateList>
      <explain>文本全半角错误。</explain>
      <paraID>7D1C83DB</paraID>
      <start>137</start>
      <end>138</end>
      <status>unmodified</status>
      <modifiedWord/>
      <trackRevisions>false</trackRevisions>
    </reviewItem>
    <reviewItem>
      <errorID>f6c1815d-ca34-4f15-9346-151e903f4787</errorID>
      <errorWord>)</errorWord>
      <group>L1_Format</group>
      <groupName>格式问题</groupName>
      <ability>L2_HalfPunc_CN</ability>
      <abilityName>全半角问题</abilityName>
      <candidateList>
        <item>）</item>
      </candidateList>
      <explain>文本全半角错误。</explain>
      <paraID>7D1C83DB</paraID>
      <start>154</start>
      <end>155</end>
      <status>unmodified</status>
      <modifiedWord/>
      <trackRevisions>false</trackRevisions>
    </reviewItem>
    <reviewItem>
      <errorID>b5c250b3-edd6-4cd7-8687-4c2145e02ca8</errorID>
      <errorWord>中标人</errorWord>
      <group>L1_Other</group>
      <groupName>其他问题</groupName>
      <ability>L2_Consistency</ability>
      <abilityName>一致性检查</abilityName>
      <candidateList>
        <item>中标方</item>
      </candidateList>
      <explain>实体一致性，原文主体统一使用中标方，此处表述不一致</explain>
      <paraID>7D1C83DB</paraID>
      <start>170</start>
      <end>173</end>
      <status>unmodified</status>
      <modifiedWord/>
      <trackRevisions>false</trackRevisions>
    </reviewItem>
    <reviewItem>
      <errorID>1717d9e1-8295-4cac-a274-f55b96c831db</errorID>
      <errorWord>，</errorWord>
      <group>L1_Word</group>
      <groupName>字词问题</groupName>
      <ability>L2_Typo</ability>
      <abilityName>字词错误</abilityName>
      <candidateList>
        <item>，必</item>
      </candidateList>
      <explain/>
      <paraID>3AC9BDD2</paraID>
      <start>86</start>
      <end>87</end>
      <status>unmodified</status>
      <modifiedWord/>
      <trackRevisions>false</trackRevisions>
    </reviewItem>
    <reviewItem>
      <errorID>c330b3bf-54c6-4556-accd-f7b1b7073b5e</errorID>
      <errorWord>的</errorWord>
      <group>L1_Word</group>
      <groupName>字词问题</groupName>
      <ability>L2_Typo</ability>
      <abilityName>字词错误</abilityName>
      <candidateList>
        <item>地</item>
      </candidateList>
      <explain/>
      <paraID>3AC9BDD2</paraID>
      <start>190</start>
      <end>191</end>
      <status>unmodified</status>
      <modifiedWord/>
      <trackRevisions>false</trackRevisions>
    </reviewItem>
    <reviewItem>
      <errorID>80e3a6df-4029-4784-9546-2557f0a31dba</errorID>
      <errorWord>涉及到</errorWord>
      <group>L1_Word</group>
      <groupName>字词问题</groupName>
      <ability>L2_Typo</ability>
      <abilityName>字词错误</abilityName>
      <candidateList>
        <item>涉及</item>
      </candidateList>
      <explain/>
      <paraID> DB2E5E2</paraID>
      <start>7</start>
      <end>10</end>
      <status>unmodified</status>
      <modifiedWord/>
      <trackRevisions>false</trackRevisions>
    </reviewItem>
    <reviewItem>
      <errorID>bb1382a1-6f5b-4ef6-b83b-3a080a798ce1</errorID>
      <errorWord>并且在甲方</errorWord>
      <group>L1_Grammar</group>
      <groupName>语法问题</groupName>
      <ability>L2_Grammar</ability>
      <abilityName>语法错误</abilityName>
      <candidateList>
        <item>和</item>
      </candidateList>
      <explain/>
      <paraID> DB2E5E2</paraID>
      <start>47</start>
      <end>52</end>
      <status>unmodified</status>
      <modifiedWord/>
      <trackRevisions>false</trackRevisions>
    </reviewItem>
    <reviewItem>
      <errorID>cfc034c4-eacd-47a1-ade1-b67f502be0b8</errorID>
      <errorWord>须要</errorWord>
      <group>L1_Word</group>
      <groupName>字词问题</groupName>
      <ability>L2_Typo</ability>
      <abilityName>字词错误</abilityName>
      <candidateList>
        <item>需要</item>
      </candidateList>
      <explain>存在发音相同字词的误用。</explain>
      <paraID> DB2E5E2</paraID>
      <start>68</start>
      <end>70</end>
      <status>unmodified</status>
      <modifiedWord/>
      <trackRevisions>false</trackRevisions>
    </reviewItem>
    <reviewItem>
      <errorID>b08de725-d1f0-41c0-8aa3-13ffa9dfe3e6</errorID>
      <errorWord>全</errorWord>
      <group>L1_Word</group>
      <groupName>字词问题</groupName>
      <ability>L2_Typo</ability>
      <abilityName>字词错误</abilityName>
      <candidateList>
        <item>全过</item>
      </candidateList>
      <explain/>
      <paraID>156DAA2E</paraID>
      <start>10</start>
      <end>11</end>
      <status>unmodified</status>
      <modifiedWord/>
      <trackRevisions>false</trackRevisions>
    </reviewItem>
    <reviewItem>
      <errorID>494d3221-a8a9-43bb-8959-8888db3b53f4</errorID>
      <errorWord>文档均为</errorWord>
      <group>L1_Grammar</group>
      <groupName>语法问题</groupName>
      <ability>L2_Grammar</ability>
      <abilityName>语法错误</abilityName>
      <candidateList>
        <item>文档</item>
      </candidateList>
      <explain/>
      <paraID>2685DDDB</paraID>
      <start>119</start>
      <end>123</end>
      <status>unmodified</status>
      <modifiedWord/>
      <trackRevisions>false</trackRevisions>
    </reviewItem>
    <reviewItem>
      <errorID>b141321f-af5e-4303-977e-b5dc3c917a36</errorID>
      <errorWord>服务内容：服务</errorWord>
      <group>L1_Grammar</group>
      <groupName>语法问题</groupName>
      <ability>L2_Grammar</ability>
      <abilityName>语法错误</abilityName>
      <candidateList>
        <item>服务</item>
      </candidateList>
      <explain/>
      <paraID>68B2F3B4</paraID>
      <start>0</start>
      <end>7</end>
      <status>unmodified</status>
      <modifiedWord/>
      <trackRevisions>false</trackRevisions>
    </reviewItem>
    <reviewItem>
      <errorID>8d245c59-f6d2-4073-b825-006c241280c9</errorID>
      <errorWord>网络和</errorWord>
      <group>L1_Word</group>
      <groupName>字词问题</groupName>
      <ability>L2_Typo</ability>
      <abilityName>字词错误</abilityName>
      <candidateList>
        <item>网络</item>
      </candidateList>
      <explain/>
      <paraID>68B2F3B4</paraID>
      <start>15</start>
      <end>18</end>
      <status>unmodified</status>
      <modifiedWord/>
      <trackRevisions>false</trackRevisions>
    </reviewItem>
    <reviewItem>
      <errorID>647a614a-eb8c-4989-a5f5-465317c9cf19</errorID>
      <errorWord>三级等保评测</errorWord>
      <group>L1_Other</group>
      <groupName>其他问题</groupName>
      <ability>L2_Consistency</ability>
      <abilityName>一致性检查</abilityName>
      <candidateList>
        <item>三级等级保护测评</item>
      </candidateList>
      <explain>术语一致性，前文统一使用三级等级保护测评表述，此处表述不一致</explain>
      <paraID>68B2F3B4</paraID>
      <start>41</start>
      <end>47</end>
      <status>unmodified</status>
      <modifiedWord/>
      <trackRevisions>false</trackRevisions>
    </reviewItem>
    <reviewItem>
      <errorID>6d07df1e-3693-40a0-9d87-6d9cc5e6289b</errorID>
      <errorWord>规划整体情况</errorWord>
      <group>L1_Grammar</group>
      <groupName>语法问题</groupName>
      <ability>L2_Grammar</ability>
      <abilityName>语法错误</abilityName>
      <candidateList>
        <item>规划</item>
      </candidateList>
      <explain/>
      <paraID>68B2F3B4</paraID>
      <start>67</start>
      <end>73</end>
      <status>unmodified</status>
      <modifiedWord/>
      <trackRevisions>false</trackRevisions>
    </reviewItem>
    <reviewItem>
      <errorID>e253a044-9660-4684-8035-5d38a4968331</errorID>
      <errorWord>。实施完成</errorWord>
      <group>L1_Grammar</group>
      <groupName>语法问题</groupName>
      <ability>L2_Grammar</ability>
      <abilityName>语法错误</abilityName>
      <candidateList>
        <item>，实施</item>
      </candidateList>
      <explain/>
      <paraID>3AEFFF2E</paraID>
      <start>30</start>
      <end>35</end>
      <status>unmodified</status>
      <modifiedWord/>
      <trackRevisions>false</trackRevisions>
    </reviewItem>
    <reviewItem>
      <errorID>576dfa54-021c-4277-8e7b-248ef13cfcdf</errorID>
      <errorWord>，</errorWord>
      <group>L1_Punc</group>
      <groupName>标点问题</groupName>
      <ability>L2_Punc_CN</ability>
      <abilityName>标点符号问题</abilityName>
      <candidateList>
        <item>、</item>
      </candidateList>
      <explain/>
      <paraID>3AEFFF2E</paraID>
      <start>41</start>
      <end>42</end>
      <status>unmodified</status>
      <modifiedWord/>
      <trackRevisions>false</trackRevisions>
    </reviewItem>
    <reviewItem>
      <errorID>9bb8d313-35e7-4ff1-a40b-858e31839ca3</errorID>
      <errorWord>解决</errorWord>
      <group>L1_Word</group>
      <groupName>字词问题</groupName>
      <ability>L2_Typo</ability>
      <abilityName>字词错误</abilityName>
      <candidateList>
        <item>处理</item>
      </candidateList>
      <explain/>
      <paraID>52564D84</paraID>
      <start>2</start>
      <end>4</end>
      <status>unmodified</status>
      <modifiedWord/>
      <trackRevisions>false</trackRevisions>
    </reviewItem>
    <reviewItem>
      <errorID>78cb473e-10b5-4677-accc-eba4f1505926</errorID>
      <errorWord>，</errorWord>
      <group>L1_Grammar</group>
      <groupName>语法问题</groupName>
      <ability>L2_Grammar</ability>
      <abilityName>语法错误</abilityName>
      <candidateList>
        <item>事务，</item>
      </candidateList>
      <explain/>
      <paraID>52564D84</paraID>
      <start>37</start>
      <end>38</end>
      <status>unmodified</status>
      <modifiedWord/>
      <trackRevisions>false</trackRevisions>
    </reviewItem>
    <reviewItem>
      <errorID>1ab549f6-64f7-4b12-8838-b88dbdfb36f8</errorID>
      <errorWord>及</errorWord>
      <group>L1_Word</group>
      <groupName>字词问题</groupName>
      <ability>L2_Typo</ability>
      <abilityName>字词错误</abilityName>
      <candidateList>
        <item>以及</item>
      </candidateList>
      <explain/>
      <paraID>283EDE17</paraID>
      <start>11</start>
      <end>12</end>
      <status>unmodified</status>
      <modifiedWord/>
      <trackRevisions>false</trackRevisions>
    </reviewItem>
    <reviewItem>
      <errorID>4ba54e3d-53b1-4cf8-bbea-84eb193afcb0</errorID>
      <errorWord>立即</errorWord>
      <group>L1_Word</group>
      <groupName>字词问题</groupName>
      <ability>L2_Typo</ability>
      <abilityName>字词错误</abilityName>
      <candidateList>
        <item>时立即</item>
      </candidateList>
      <explain/>
      <paraID>283EDE17</paraID>
      <start>19</start>
      <end>21</end>
      <status>unmodified</status>
      <modifiedWord/>
      <trackRevisions>false</trackRevisions>
    </reviewItem>
    <reviewItem>
      <errorID>7e2af649-ec83-4513-8db4-1aa8a5adc342</errorID>
      <errorWord>二次</errorWord>
      <group>L1_Word</group>
      <groupName>字词问题</groupName>
      <ability>L2_Typo</ability>
      <abilityName>字词错误</abilityName>
      <candidateList>
        <item>两次</item>
      </candidateList>
      <explain/>
      <paraID>39D38E41</paraID>
      <start>7</start>
      <end>9</end>
      <status>unmodified</status>
      <modifiedWord/>
      <trackRevisions>false</trackRevisions>
    </reviewItem>
    <reviewItem>
      <errorID>7b8793f9-c4da-40b4-8ac4-05c9423cab66</errorID>
      <errorWord>，</errorWord>
      <group>L1_Word</group>
      <groupName>字词问题</groupName>
      <ability>L2_Typo</ability>
      <abilityName>字词错误</abilityName>
      <candidateList>
        <item>，以</item>
      </candidateList>
      <explain/>
      <paraID> 3CDBB5E</paraID>
      <start>13</start>
      <end>14</end>
      <status>unmodified</status>
      <modifiedWord/>
      <trackRevisions>false</trackRevisions>
    </reviewItem>
    <reviewItem>
      <errorID>65086d6d-3056-4b00-a9d6-c79ae8e00225</errorID>
      <errorWord>病毒爆发</errorWord>
      <group>L1_Word</group>
      <groupName>字词问题</groupName>
      <ability>L2_Typo</ability>
      <abilityName>字词错误</abilityName>
      <candidateList>
        <item>病毒暴发</item>
      </candidateList>
      <explain/>
      <paraID>4808AC91</paraID>
      <start>27</start>
      <end>31</end>
      <status>unmodified</status>
      <modifiedWord/>
      <trackRevisions>false</trackRevisions>
    </reviewItem>
    <reviewItem>
      <errorID>ad7e8bb7-096b-4cf7-b103-11e850a3b7f1</errorID>
      <errorWord>至少1名以上</errorWord>
      <group>L1_Grammar</group>
      <groupName>语法问题</groupName>
      <ability>L2_Grammar</ability>
      <abilityName>语法错误</abilityName>
      <candidateList>
        <item>至少1名</item>
      </candidateList>
      <explain>该表达中的“至少1名以上”存在语义重复。</explain>
      <paraID>4808AC91</paraID>
      <start>36</start>
      <end>42</end>
      <status>unmodified</status>
      <modifiedWord/>
      <trackRevisions>false</trackRevisions>
    </reviewItem>
    <reviewItem>
      <errorID>e813cf0e-a35e-4c77-ba53-ac56fbc97595</errorID>
      <errorWord>方案</errorWord>
      <group>L1_Punc</group>
      <groupName>标点问题</groupName>
      <ability>L2_Punc_CN</ability>
      <abilityName>标点符号问题</abilityName>
      <candidateList>
        <item>方案。</item>
      </candidateList>
      <explain/>
      <paraID> 6614BBF</paraID>
      <start>69</start>
      <end>71</end>
      <status>unmodified</status>
      <modifiedWord/>
      <trackRevisions>false</trackRevisions>
    </reviewItem>
    <reviewItem>
      <errorID>8e0e732b-0ce6-4d45-9f0c-28eb8ec51558</errorID>
      <errorWord>其它</errorWord>
      <group>L1_Word</group>
      <groupName>字词问题</groupName>
      <ability>L2_Alias</ability>
      <abilityName>也作/曾用词</abilityName>
      <candidateList>
        <item>其他</item>
      </candidateList>
      <explain>词汇[其它]为不规范表述或旧称，其规范书面表述为[其他]。</explain>
      <paraID>5F653F67</paraID>
      <start>33</start>
      <end>35</end>
      <status>unmodified</status>
      <modifiedWord/>
      <trackRevisions>false</trackRevisions>
    </reviewItem>
    <reviewItem>
      <errorID>32e860dc-4c29-415b-9b2f-54e408a36a72</errorID>
      <errorWord>熟习</errorWord>
      <group>L1_Word</group>
      <groupName>字词问题</groupName>
      <ability>L2_Typo</ability>
      <abilityName>字词错误</abilityName>
      <candidateList>
        <item>熟悉</item>
      </candidateList>
      <explain/>
      <paraID>4F4A77E3</paraID>
      <start>10</start>
      <end>12</end>
      <status>unmodified</status>
      <modifiedWord/>
      <trackRevisions>false</trackRevisions>
    </reviewItem>
    <reviewItem>
      <errorID>3f01edf6-82f1-48d2-9017-80a959a33d9b</errorID>
      <errorWord>帐户</errorWord>
      <group>L1_Word</group>
      <groupName>字词问题</groupName>
      <ability>L2_Typo</ability>
      <abilityName>字词错误</abilityName>
      <candidateList>
        <item>账户</item>
      </candidateList>
      <explain/>
      <paraID>4F4A77E3</paraID>
      <start>76</start>
      <end>78</end>
      <status>unmodified</status>
      <modifiedWord/>
      <trackRevisions>false</trackRevisions>
    </reviewItem>
    <reviewItem>
      <errorID>43288d83-785a-4e95-b417-6535473d9a4b</errorID>
      <errorWord>的</errorWord>
      <group>L1_Word</group>
      <groupName>字词问题</groupName>
      <ability>L2_DDD</ability>
      <abilityName>的地得用法</abilityName>
      <candidateList>
        <item>地</item>
      </candidateList>
      <explain/>
      <paraID>28494155</paraID>
      <start>57</start>
      <end>58</end>
      <status>unmodified</status>
      <modifiedWord/>
      <trackRevisions>false</trackRevisions>
    </reviewItem>
    <reviewItem>
      <errorID>d43bab05-e347-4125-b73e-3b639927df42</errorID>
      <errorWord>针对</errorWord>
      <group>L1_Word</group>
      <groupName>字词问题</groupName>
      <ability>L2_Typo</ability>
      <abilityName>字词错误</abilityName>
      <candidateList>
        <item>对</item>
      </candidateList>
      <explain/>
      <paraID>78A671B5</paraID>
      <start>68</start>
      <end>70</end>
      <status>unmodified</status>
      <modifiedWord/>
      <trackRevisions>false</trackRevisions>
    </reviewItem>
    <reviewItem>
      <errorID>a75331b9-76f6-4ffb-9c79-365bd2232e63</errorID>
      <errorWord>却</errorWord>
      <group>L1_Word</group>
      <groupName>字词问题</groupName>
      <ability>L2_Typo</ability>
      <abilityName>字词错误</abilityName>
      <candidateList>
        <item>且</item>
      </candidateList>
      <explain>存在发音相近字词的误用。</explain>
      <paraID>1D176D0F</paraID>
      <start>145</start>
      <end>146</end>
      <status>unmodified</status>
      <modifiedWord/>
      <trackRevisions>false</trackRevisions>
    </reviewItem>
    <reviewItem>
      <errorID>9cbc6aac-d266-46fa-929c-29b8ff9f7b20</errorID>
      <errorWord>；。</errorWord>
      <group>L1_Punc</group>
      <groupName>标点问题</groupName>
      <ability>L2_Punc_CN</ability>
      <abilityName>标点符号问题</abilityName>
      <candidateList>
        <item>；</item>
      </candidateList>
      <explain/>
      <paraID>157B7521</paraID>
      <start>55</start>
      <end>57</end>
      <status>unmodified</status>
      <modifiedWord/>
      <trackRevisions>false</trackRevisions>
    </reviewItem>
    <reviewItem>
      <errorID>230b4368-c2d3-4ffa-a36e-85591fc09471</errorID>
      <errorWord>:</errorWord>
      <group>L1_Format</group>
      <groupName>格式问题</groupName>
      <ability>L2_HalfPunc_CN</ability>
      <abilityName>全半角问题</abilityName>
      <candidateList>
        <item>：</item>
      </candidateList>
      <explain>文本全半角错误。</explain>
      <paraID> 9017747</paraID>
      <start>25</start>
      <end>26</end>
      <status>unmodified</status>
      <modifiedWord/>
      <trackRevisions>false</trackRevisions>
    </reviewItem>
    <reviewItem>
      <errorID>7037cdcd-4411-4bfc-8a10-ccc485110126</errorID>
      <errorWord>;</errorWord>
      <group>L1_Format</group>
      <groupName>格式问题</groupName>
      <ability>L2_HalfPunc_CN</ability>
      <abilityName>全半角问题</abilityName>
      <candidateList>
        <item>；</item>
      </candidateList>
      <explain>文本全半角错误。</explain>
      <paraID> 9017747</paraID>
      <start>68</start>
      <end>69</end>
      <status>unmodified</status>
      <modifiedWord/>
      <trackRevisions>false</trackRevisions>
    </reviewItem>
    <reviewItem>
      <errorID>032aafef-5234-4ce9-847b-0e3d8558f342</errorID>
      <errorWord>暴破</errorWord>
      <group>L1_Word</group>
      <groupName>字词问题</groupName>
      <ability>L2_Typo</ability>
      <abilityName>字词错误</abilityName>
      <candidateList>
        <item>爆破</item>
      </candidateList>
      <explain>存在发音相同字词的误用。</explain>
      <paraID>2DD681DA</paraID>
      <start>139</start>
      <end>141</end>
      <status>unmodified</status>
      <modifiedWord/>
      <trackRevisions>false</trackRevisions>
    </reviewItem>
    <reviewItem>
      <errorID>5670db99-b00f-4d7a-8536-cc60baf3e6ef</errorID>
      <errorWord>登陆</errorWord>
      <group>L1_Word</group>
      <groupName>字词问题</groupName>
      <ability>L2_Typo</ability>
      <abilityName>字词错误</abilityName>
      <candidateList>
        <item>登录</item>
      </candidateList>
      <explain/>
      <paraID>2B7B69A9</paraID>
      <start>7</start>
      <end>9</end>
      <status>unmodified</status>
      <modifiedWord/>
      <trackRevisions>false</trackRevisions>
    </reviewItem>
    <reviewItem>
      <errorID>b3fbbfd4-037a-42af-aa09-57cc5030b9f6</errorID>
      <errorWord>暴破</errorWord>
      <group>L1_Word</group>
      <groupName>字词问题</groupName>
      <ability>L2_Typo</ability>
      <abilityName>字词错误</abilityName>
      <candidateList>
        <item>爆破</item>
      </candidateList>
      <explain/>
      <paraID>2B7B69A9</paraID>
      <start>54</start>
      <end>56</end>
      <status>unmodified</status>
      <modifiedWord/>
      <trackRevisions>false</trackRevisions>
    </reviewItem>
    <reviewItem>
      <errorID>d0393da9-7aff-4a66-8076-3cc2ba4ac7c9</errorID>
      <errorWord>病毒爆发</errorWord>
      <group>L1_Word</group>
      <groupName>字词问题</groupName>
      <ability>L2_Typo</ability>
      <abilityName>字词错误</abilityName>
      <candidateList>
        <item>病毒暴发</item>
      </candidateList>
      <explain/>
      <paraID> 33C3260</paraID>
      <start>67</start>
      <end>71</end>
      <status>unmodified</status>
      <modifiedWord/>
      <trackRevisions>false</trackRevisions>
    </reviewItem>
    <reviewItem>
      <errorID>802483b6-3ff1-4af1-9fbd-2913f3616bc5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5E9C7783</paraID>
      <start>15</start>
      <end>18</end>
      <status>unmodified</status>
      <modifiedWord/>
      <trackRevisions>false</trackRevisions>
    </reviewItem>
    <reviewItem>
      <errorID>94c8880a-82fa-419c-b127-dc4c187a7e23</errorID>
      <errorWord>并为</errorWord>
      <group>L1_Word</group>
      <groupName>字词问题</groupName>
      <ability>L2_Typo</ability>
      <abilityName>字词错误</abilityName>
      <candidateList>
        <item>并</item>
      </candidateList>
      <explain/>
      <paraID>5E9C7783</paraID>
      <start>220</start>
      <end>222</end>
      <status>unmodified</status>
      <modifiedWord/>
      <trackRevisions>false</trackRevisions>
    </reviewItem>
    <reviewItem>
      <errorID>3d2f600a-6879-4d16-bd00-8eb3889109c6</errorID>
      <errorWord>,</errorWord>
      <group>L1_Format</group>
      <groupName>格式问题</groupName>
      <ability>L2_HalfPunc_CN</ability>
      <abilityName>全半角问题</abilityName>
      <candidateList>
        <item>，</item>
      </candidateList>
      <explain>文本全半角错误。</explain>
      <paraID> C3AD00A</paraID>
      <start>4</start>
      <end>5</end>
      <status>unmodified</status>
      <modifiedWord/>
      <trackRevisions>false</trackRevisions>
    </reviewItem>
    <reviewItem>
      <errorID>428af3ba-a5ae-47f6-9f3f-5bed4a1a5174</errorID>
      <errorWord>不利</errorWord>
      <group>L1_Word</group>
      <groupName>字词问题</groupName>
      <ability>L2_Typo</ability>
      <abilityName>字词错误</abilityName>
      <candidateList>
        <item>不力</item>
      </candidateList>
      <explain/>
      <paraID> 117BA1B</paraID>
      <start>38</start>
      <end>40</end>
      <status>unmodified</status>
      <modifiedWord/>
      <trackRevisions>false</trackRevisions>
    </reviewItem>
    <reviewItem>
      <errorID>fa4bdf74-06c3-44ad-81e5-c621cb934a19</errorID>
      <errorWord>在格遵守</errorWord>
      <group>L1_Word</group>
      <groupName>字词问题</groupName>
      <ability>L2_Typo</ability>
      <abilityName>字词错误</abilityName>
      <candidateList>
        <item>严格遵守</item>
      </candidateList>
      <explain/>
      <paraID>4BA87615</paraID>
      <start>2</start>
      <end>6</end>
      <status>unmodified</status>
      <modifiedWord/>
      <trackRevisions>false</trackRevisions>
    </reviewItem>
    <reviewItem>
      <errorID>e99dbf6a-f8d6-4aca-8a87-ee0e62b6666b</errorID>
      <errorWord>,</errorWord>
      <group>L1_Format</group>
      <groupName>格式问题</groupName>
      <ability>L2_HalfPunc_CN</ability>
      <abilityName>全半角问题</abilityName>
      <candidateList>
        <item>，</item>
      </candidateList>
      <explain>文本全半角错误。</explain>
      <paraID>4BA87615</paraID>
      <start>13</start>
      <end>14</end>
      <status>unmodified</status>
      <modifiedWord/>
      <trackRevisions>false</trackRevisions>
    </reviewItem>
    <reviewItem>
      <errorID>204974db-3f7e-4a4e-b1a0-d659f8fb802b</errorID>
      <errorWord>曝露</errorWord>
      <group>L1_Word</group>
      <groupName>字词问题</groupName>
      <ability>L2_Typo</ability>
      <abilityName>字词错误</abilityName>
      <candidateList>
        <item>暴露</item>
      </candidateList>
      <explain/>
      <paraID> DCF6935</paraID>
      <start>43</start>
      <end>45</end>
      <status>unmodified</status>
      <modifiedWord/>
      <trackRevisions>false</trackRevisions>
    </reviewItem>
    <reviewItem>
      <errorID>93725237-4f9a-4437-984a-c82a03314ada</errorID>
      <errorWord>即时处理</errorWord>
      <group>L1_Word</group>
      <groupName>字词问题</groupName>
      <ability>L2_Typo</ability>
      <abilityName>字词错误</abilityName>
      <candidateList>
        <item>及时处理</item>
      </candidateList>
      <explain/>
      <paraID> EF481EC</paraID>
      <start>102</start>
      <end>106</end>
      <status>unmodified</status>
      <modifiedWord/>
      <trackRevisions>false</trackRevisions>
    </reviewItem>
    <reviewItem>
      <errorID>e0d9b171-6eb4-4446-92bd-4e2eda8772cc</errorID>
      <errorWord>料</errorWord>
      <group>L1_Word</group>
      <groupName>字词问题</groupName>
      <ability>L2_Typo</ability>
      <abilityName>字词错误</abilityName>
      <candidateList>
        <item>料和</item>
      </candidateList>
      <explain/>
      <paraID>5CA0C28C</paraID>
      <start>45</start>
      <end>46</end>
      <status>unmodified</status>
      <modifiedWord/>
      <trackRevisions>false</trackRevisions>
    </reviewItem>
    <reviewItem>
      <errorID>951b3336-47eb-4618-9b47-fc04336d7995</errorID>
      <errorWord>、等</errorWord>
      <group>L1_Punc</group>
      <groupName>标点问题</groupName>
      <ability>L2_Punc_CN</ability>
      <abilityName>标点符号问题</abilityName>
      <candidateList>
        <item>等</item>
      </candidateList>
      <explain>“及”“和”“等”连词前不宜使用顿号，建议删除（或使用逗号）。</explain>
      <paraID>359308E5</paraID>
      <start>28</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21b582-7059-4424-bd37-e357c7cf405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8901</Words>
  <Characters>9257</Characters>
  <Lines>112</Lines>
  <Paragraphs>31</Paragraphs>
  <TotalTime>9</TotalTime>
  <ScaleCrop>false</ScaleCrop>
  <LinksUpToDate>false</LinksUpToDate>
  <CharactersWithSpaces>9263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2025-02-12T01:28:00Z</dcterms:created>
  <dc:creator>黑色幽默</dc:creator>
  <cp:lastModifiedBy>July</cp:lastModifiedBy>
  <dcterms:modified xsi:type="dcterms:W3CDTF">2026-09-15T03:13:12Z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1CF0960D4B7B4E14A426B6E4B4D08C46_13</vt:lpwstr>
  </property>
  <property fmtid="{D5CDD505-2E9C-101B-9397-08002B2CF9AE}" pid="4" name="KSOTemplateDocerSaveRecord">
    <vt:lpwstr>eyJoZGlkIjoiMTBlNTM2MTBkZTRlYjNjMzRiZWI3NDA5OGJjYTY5OTYiLCJ1c2VySWQiOiI1OTM0NDE3MzcifQ==</vt:lpwstr>
  </property>
</Properties>
</file>